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ind w:left="456" w:right="614"/>
        <w:jc w:val="center"/>
        <w:rPr>
          <w:rFonts w:hint="eastAsia" w:asciiTheme="majorEastAsia" w:hAnsiTheme="majorEastAsia" w:eastAsiaTheme="majorEastAsia" w:cstheme="majorEastAsia"/>
          <w:b w:val="0"/>
          <w:bCs w:val="0"/>
          <w:color w:val="auto"/>
          <w:sz w:val="44"/>
          <w:szCs w:val="44"/>
          <w:shd w:val="clear" w:color="auto" w:fill="auto"/>
          <w:lang w:eastAsia="zh-CN"/>
        </w:rPr>
      </w:pPr>
      <w:r>
        <w:rPr>
          <w:rFonts w:hint="eastAsia" w:asciiTheme="majorEastAsia" w:hAnsiTheme="majorEastAsia" w:eastAsiaTheme="majorEastAsia" w:cstheme="majorEastAsia"/>
          <w:b w:val="0"/>
          <w:bCs w:val="0"/>
          <w:color w:val="auto"/>
          <w:sz w:val="44"/>
          <w:szCs w:val="44"/>
          <w:shd w:val="clear" w:color="auto" w:fill="auto"/>
          <w:lang w:eastAsia="zh-CN"/>
        </w:rPr>
        <w:t>辽宁师范大学</w:t>
      </w:r>
    </w:p>
    <w:p>
      <w:pPr>
        <w:spacing w:line="574" w:lineRule="exact"/>
        <w:ind w:left="456" w:right="614"/>
        <w:jc w:val="center"/>
        <w:rPr>
          <w:rFonts w:hint="eastAsia" w:asciiTheme="majorEastAsia" w:hAnsiTheme="majorEastAsia" w:eastAsiaTheme="majorEastAsia" w:cstheme="majorEastAsia"/>
          <w:b w:val="0"/>
          <w:bCs w:val="0"/>
          <w:color w:val="auto"/>
          <w:sz w:val="44"/>
          <w:szCs w:val="44"/>
          <w:shd w:val="clear" w:color="auto" w:fill="auto"/>
          <w:lang w:eastAsia="zh-CN"/>
        </w:rPr>
      </w:pPr>
      <w:r>
        <w:rPr>
          <w:rFonts w:hint="eastAsia" w:asciiTheme="majorEastAsia" w:hAnsiTheme="majorEastAsia" w:eastAsiaTheme="majorEastAsia" w:cstheme="majorEastAsia"/>
          <w:b w:val="0"/>
          <w:bCs w:val="0"/>
          <w:color w:val="auto"/>
          <w:sz w:val="44"/>
          <w:szCs w:val="44"/>
          <w:shd w:val="clear" w:color="auto" w:fill="auto"/>
          <w:lang w:eastAsia="zh-CN"/>
        </w:rPr>
        <w:t>本科生</w:t>
      </w:r>
      <w:r>
        <w:rPr>
          <w:rFonts w:hint="eastAsia" w:asciiTheme="majorEastAsia" w:hAnsiTheme="majorEastAsia" w:eastAsiaTheme="majorEastAsia" w:cstheme="majorEastAsia"/>
          <w:b w:val="0"/>
          <w:bCs w:val="0"/>
          <w:color w:val="auto"/>
          <w:sz w:val="44"/>
          <w:szCs w:val="44"/>
          <w:shd w:val="clear" w:color="auto" w:fill="auto"/>
          <w:lang w:val="en-US" w:eastAsia="zh-CN"/>
        </w:rPr>
        <w:t>学业预警管理</w:t>
      </w:r>
      <w:r>
        <w:rPr>
          <w:rFonts w:hint="eastAsia" w:asciiTheme="majorEastAsia" w:hAnsiTheme="majorEastAsia" w:eastAsiaTheme="majorEastAsia" w:cstheme="majorEastAsia"/>
          <w:b w:val="0"/>
          <w:bCs w:val="0"/>
          <w:color w:val="auto"/>
          <w:sz w:val="44"/>
          <w:szCs w:val="44"/>
          <w:shd w:val="clear" w:color="auto" w:fill="auto"/>
          <w:lang w:eastAsia="zh-CN"/>
        </w:rPr>
        <w:t>办法</w:t>
      </w:r>
      <w:bookmarkStart w:id="0" w:name="_GoBack"/>
      <w:bookmarkEnd w:id="0"/>
    </w:p>
    <w:p>
      <w:pPr>
        <w:pStyle w:val="2"/>
        <w:tabs>
          <w:tab w:val="left" w:pos="2045"/>
        </w:tabs>
        <w:spacing w:line="218" w:lineRule="auto"/>
        <w:ind w:left="118" w:right="536" w:firstLine="643"/>
        <w:rPr>
          <w:rFonts w:ascii="仿宋" w:hAnsi="仿宋" w:eastAsia="仿宋"/>
          <w:color w:val="auto"/>
          <w:spacing w:val="-15"/>
          <w:sz w:val="30"/>
          <w:szCs w:val="30"/>
          <w:lang w:eastAsia="zh-CN"/>
        </w:rPr>
      </w:pPr>
    </w:p>
    <w:p>
      <w:pPr>
        <w:pStyle w:val="2"/>
        <w:keepNext w:val="0"/>
        <w:keepLines w:val="0"/>
        <w:pageBreakBefore w:val="0"/>
        <w:widowControl w:val="0"/>
        <w:tabs>
          <w:tab w:val="left" w:pos="1908"/>
        </w:tabs>
        <w:kinsoku/>
        <w:wordWrap/>
        <w:overflowPunct/>
        <w:topLinePunct w:val="0"/>
        <w:autoSpaceDE w:val="0"/>
        <w:autoSpaceDN w:val="0"/>
        <w:bidi w:val="0"/>
        <w:adjustRightInd/>
        <w:snapToGrid w:val="0"/>
        <w:spacing w:line="360" w:lineRule="auto"/>
        <w:ind w:left="0" w:leftChars="0" w:right="0" w:rightChars="0" w:firstLine="627" w:firstLineChars="196"/>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为进一步加强学生学习过</w:t>
      </w:r>
      <w:r>
        <w:rPr>
          <w:rFonts w:hint="eastAsia" w:ascii="仿宋_GB2312" w:hAnsi="仿宋_GB2312" w:eastAsia="仿宋_GB2312" w:cs="仿宋_GB2312"/>
          <w:color w:val="auto"/>
          <w:sz w:val="32"/>
          <w:szCs w:val="32"/>
          <w:lang w:eastAsia="zh-CN"/>
        </w:rPr>
        <w:t>程管理和学风建设，提高对学生学业的指导性、预见性，充分发挥学校、学生、家庭三结合教育的功能，引导学生顺利完成学业，根据《普通高等学校学生管理规定》和《辽宁师范大学学生管理规定》《辽宁师范大学本科生学籍管理办法》，</w:t>
      </w:r>
      <w:r>
        <w:rPr>
          <w:rFonts w:hint="eastAsia" w:ascii="仿宋_GB2312" w:hAnsi="仿宋_GB2312" w:eastAsia="仿宋_GB2312" w:cs="仿宋_GB2312"/>
          <w:color w:val="auto"/>
          <w:sz w:val="32"/>
          <w:szCs w:val="32"/>
          <w:lang w:eastAsia="zh-CN"/>
        </w:rPr>
        <w:t>制定本办法。</w:t>
      </w:r>
    </w:p>
    <w:p>
      <w:pPr>
        <w:pStyle w:val="2"/>
        <w:keepNext w:val="0"/>
        <w:keepLines w:val="0"/>
        <w:pageBreakBefore w:val="0"/>
        <w:widowControl w:val="0"/>
        <w:tabs>
          <w:tab w:val="left" w:pos="2045"/>
        </w:tabs>
        <w:kinsoku/>
        <w:wordWrap/>
        <w:overflowPunct/>
        <w:topLinePunct w:val="0"/>
        <w:autoSpaceDE w:val="0"/>
        <w:autoSpaceDN w:val="0"/>
        <w:bidi w:val="0"/>
        <w:adjustRightInd/>
        <w:snapToGrid w:val="0"/>
        <w:spacing w:line="360" w:lineRule="auto"/>
        <w:ind w:left="0" w:leftChars="0" w:right="0" w:rightChars="0" w:firstLine="630" w:firstLineChars="196"/>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lang w:eastAsia="zh-CN"/>
        </w:rPr>
        <w:t xml:space="preserve">第一条 </w:t>
      </w:r>
      <w:r>
        <w:rPr>
          <w:rFonts w:hint="eastAsia" w:ascii="仿宋_GB2312" w:hAnsi="仿宋_GB2312" w:eastAsia="仿宋_GB2312" w:cs="仿宋_GB2312"/>
          <w:color w:val="auto"/>
          <w:sz w:val="32"/>
          <w:szCs w:val="32"/>
          <w:lang w:eastAsia="zh-CN"/>
        </w:rPr>
        <w:t>学业预警是学校根据学生修业的有关规定和人才培养方案的相关要求，跟踪、分析学生各阶段学习情况，对可能或已经</w:t>
      </w:r>
      <w:r>
        <w:rPr>
          <w:rFonts w:hint="eastAsia" w:ascii="仿宋_GB2312" w:hAnsi="仿宋_GB2312" w:eastAsia="仿宋_GB2312" w:cs="仿宋_GB2312"/>
          <w:color w:val="auto"/>
          <w:sz w:val="32"/>
          <w:szCs w:val="32"/>
          <w:lang w:eastAsia="zh-CN"/>
        </w:rPr>
        <w:t>发生学习问题</w:t>
      </w:r>
      <w:r>
        <w:rPr>
          <w:rFonts w:hint="eastAsia" w:ascii="仿宋_GB2312" w:hAnsi="仿宋_GB2312" w:eastAsia="仿宋_GB2312" w:cs="仿宋_GB2312"/>
          <w:color w:val="auto"/>
          <w:sz w:val="32"/>
          <w:szCs w:val="32"/>
          <w:lang w:eastAsia="zh-CN"/>
        </w:rPr>
        <w:t>或完成学业有困难的学生进行警示，告知学生本人及家长可能产生的不良后果，并</w:t>
      </w:r>
      <w:r>
        <w:rPr>
          <w:rFonts w:hint="eastAsia" w:ascii="仿宋_GB2312" w:hAnsi="仿宋_GB2312" w:eastAsia="仿宋_GB2312" w:cs="仿宋_GB2312"/>
          <w:color w:val="auto"/>
          <w:sz w:val="32"/>
          <w:szCs w:val="32"/>
          <w:lang w:val="en-US" w:eastAsia="zh-CN"/>
        </w:rPr>
        <w:t>有</w:t>
      </w:r>
      <w:r>
        <w:rPr>
          <w:rFonts w:hint="eastAsia" w:ascii="仿宋_GB2312" w:hAnsi="仿宋_GB2312" w:eastAsia="仿宋_GB2312" w:cs="仿宋_GB2312"/>
          <w:color w:val="auto"/>
          <w:sz w:val="32"/>
          <w:szCs w:val="32"/>
          <w:lang w:eastAsia="zh-CN"/>
        </w:rPr>
        <w:t>针对性地采取补救和帮扶措施、帮助学生顺利完成学业的一种危机干预制度。</w:t>
      </w:r>
    </w:p>
    <w:p>
      <w:pPr>
        <w:pStyle w:val="2"/>
        <w:keepNext w:val="0"/>
        <w:keepLines w:val="0"/>
        <w:pageBreakBefore w:val="0"/>
        <w:widowControl w:val="0"/>
        <w:tabs>
          <w:tab w:val="left" w:pos="2045"/>
        </w:tabs>
        <w:kinsoku/>
        <w:wordWrap/>
        <w:overflowPunct/>
        <w:topLinePunct w:val="0"/>
        <w:autoSpaceDE w:val="0"/>
        <w:autoSpaceDN w:val="0"/>
        <w:bidi w:val="0"/>
        <w:adjustRightInd/>
        <w:snapToGrid w:val="0"/>
        <w:spacing w:line="360" w:lineRule="auto"/>
        <w:ind w:left="0" w:leftChars="0" w:right="0" w:rightChars="0" w:firstLine="636" w:firstLineChars="198"/>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lang w:eastAsia="zh-CN"/>
        </w:rPr>
        <w:t xml:space="preserve">第二条 </w:t>
      </w:r>
      <w:r>
        <w:rPr>
          <w:rFonts w:hint="eastAsia" w:ascii="仿宋_GB2312" w:hAnsi="仿宋_GB2312" w:eastAsia="仿宋_GB2312" w:cs="仿宋_GB2312"/>
          <w:color w:val="auto"/>
          <w:sz w:val="32"/>
          <w:szCs w:val="32"/>
          <w:lang w:eastAsia="zh-CN"/>
        </w:rPr>
        <w:t>学业预警是通过学校、学生、家长之间的沟通与协作，对在校本科生的学习情况进行适时监控、引导和督促。</w:t>
      </w:r>
    </w:p>
    <w:p>
      <w:pPr>
        <w:pStyle w:val="2"/>
        <w:keepNext w:val="0"/>
        <w:keepLines w:val="0"/>
        <w:pageBreakBefore w:val="0"/>
        <w:widowControl w:val="0"/>
        <w:tabs>
          <w:tab w:val="left" w:pos="2045"/>
        </w:tabs>
        <w:kinsoku/>
        <w:wordWrap/>
        <w:overflowPunct/>
        <w:topLinePunct w:val="0"/>
        <w:autoSpaceDE w:val="0"/>
        <w:autoSpaceDN w:val="0"/>
        <w:bidi w:val="0"/>
        <w:adjustRightInd/>
        <w:snapToGrid w:val="0"/>
        <w:spacing w:line="360" w:lineRule="auto"/>
        <w:ind w:left="0" w:leftChars="0" w:right="0" w:rightChars="0" w:firstLine="598" w:firstLineChars="196"/>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w w:val="95"/>
          <w:sz w:val="32"/>
          <w:szCs w:val="32"/>
          <w:lang w:eastAsia="zh-CN"/>
        </w:rPr>
        <w:t xml:space="preserve">第三条 </w:t>
      </w:r>
      <w:r>
        <w:rPr>
          <w:rFonts w:hint="eastAsia" w:ascii="仿宋_GB2312" w:hAnsi="仿宋_GB2312" w:eastAsia="仿宋_GB2312" w:cs="仿宋_GB2312"/>
          <w:color w:val="auto"/>
          <w:w w:val="95"/>
          <w:sz w:val="32"/>
          <w:szCs w:val="32"/>
          <w:lang w:eastAsia="zh-CN"/>
        </w:rPr>
        <w:t>学业预警分为三级，预警程度由低到高依次为：</w:t>
      </w:r>
      <w:r>
        <w:rPr>
          <w:rFonts w:hint="eastAsia" w:ascii="仿宋_GB2312" w:hAnsi="仿宋_GB2312" w:eastAsia="仿宋_GB2312" w:cs="仿宋_GB2312"/>
          <w:color w:val="auto"/>
          <w:sz w:val="32"/>
          <w:szCs w:val="32"/>
          <w:lang w:val="en-US" w:eastAsia="zh-CN"/>
        </w:rPr>
        <w:t>黄色</w:t>
      </w:r>
      <w:r>
        <w:rPr>
          <w:rFonts w:hint="eastAsia" w:ascii="仿宋_GB2312" w:hAnsi="仿宋_GB2312" w:eastAsia="仿宋_GB2312" w:cs="仿宋_GB2312"/>
          <w:color w:val="auto"/>
          <w:w w:val="95"/>
          <w:sz w:val="32"/>
          <w:szCs w:val="32"/>
          <w:lang w:eastAsia="zh-CN"/>
        </w:rPr>
        <w:t>预警、</w:t>
      </w:r>
      <w:r>
        <w:rPr>
          <w:rFonts w:hint="eastAsia" w:ascii="仿宋_GB2312" w:hAnsi="仿宋_GB2312" w:eastAsia="仿宋_GB2312" w:cs="仿宋_GB2312"/>
          <w:color w:val="auto"/>
          <w:w w:val="95"/>
          <w:sz w:val="32"/>
          <w:szCs w:val="32"/>
          <w:lang w:val="en-US" w:eastAsia="zh-CN"/>
        </w:rPr>
        <w:t>橙色</w:t>
      </w:r>
      <w:r>
        <w:rPr>
          <w:rFonts w:hint="eastAsia" w:ascii="仿宋_GB2312" w:hAnsi="仿宋_GB2312" w:eastAsia="仿宋_GB2312" w:cs="仿宋_GB2312"/>
          <w:color w:val="auto"/>
          <w:sz w:val="32"/>
          <w:szCs w:val="32"/>
          <w:lang w:eastAsia="zh-CN"/>
        </w:rPr>
        <w:t>预警、</w:t>
      </w:r>
      <w:r>
        <w:rPr>
          <w:rFonts w:hint="eastAsia" w:ascii="仿宋_GB2312" w:hAnsi="仿宋_GB2312" w:eastAsia="仿宋_GB2312" w:cs="仿宋_GB2312"/>
          <w:color w:val="auto"/>
          <w:sz w:val="32"/>
          <w:szCs w:val="32"/>
          <w:lang w:val="en-US" w:eastAsia="zh-CN"/>
        </w:rPr>
        <w:t>红色</w:t>
      </w:r>
      <w:r>
        <w:rPr>
          <w:rFonts w:hint="eastAsia" w:ascii="仿宋_GB2312" w:hAnsi="仿宋_GB2312" w:eastAsia="仿宋_GB2312" w:cs="仿宋_GB2312"/>
          <w:color w:val="auto"/>
          <w:sz w:val="32"/>
          <w:szCs w:val="32"/>
          <w:lang w:eastAsia="zh-CN"/>
        </w:rPr>
        <w:t>预警</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627" w:firstLineChars="196"/>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（一）有以下情形之一的，给予黄色预警。</w:t>
      </w:r>
    </w:p>
    <w:p>
      <w:pPr>
        <w:pStyle w:val="2"/>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627" w:firstLineChars="196"/>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1.前一学期</w:t>
      </w:r>
      <w:r>
        <w:rPr>
          <w:rFonts w:hint="eastAsia" w:ascii="仿宋_GB2312" w:hAnsi="仿宋_GB2312" w:eastAsia="仿宋_GB2312" w:cs="仿宋_GB2312"/>
          <w:color w:val="auto"/>
          <w:sz w:val="32"/>
          <w:szCs w:val="32"/>
          <w:lang w:val="en-US" w:eastAsia="zh-CN"/>
        </w:rPr>
        <w:t>内，</w:t>
      </w:r>
      <w:r>
        <w:rPr>
          <w:rFonts w:hint="eastAsia" w:ascii="仿宋_GB2312" w:hAnsi="仿宋_GB2312" w:eastAsia="仿宋_GB2312" w:cs="仿宋_GB2312"/>
          <w:color w:val="auto"/>
          <w:sz w:val="32"/>
          <w:szCs w:val="32"/>
          <w:lang w:eastAsia="zh-CN"/>
        </w:rPr>
        <w:t>期末考核（含补考）结束后，考核不合格的必修和限选课程总数达到2门；</w:t>
      </w:r>
    </w:p>
    <w:p>
      <w:pPr>
        <w:pStyle w:val="2"/>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627" w:firstLineChars="196"/>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2.自入学起，经过补考、重修后考核不合格的必修和限选课程累计达到3门，不足5门。</w:t>
      </w:r>
    </w:p>
    <w:p>
      <w:pPr>
        <w:pStyle w:val="2"/>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627" w:firstLineChars="196"/>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（二）有以下情形之一的，给予橙色预警。</w:t>
      </w:r>
    </w:p>
    <w:p>
      <w:pPr>
        <w:pStyle w:val="2"/>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627" w:firstLineChars="196"/>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1.前一学期</w:t>
      </w:r>
      <w:r>
        <w:rPr>
          <w:rFonts w:hint="eastAsia" w:ascii="仿宋_GB2312" w:hAnsi="仿宋_GB2312" w:eastAsia="仿宋_GB2312" w:cs="仿宋_GB2312"/>
          <w:color w:val="auto"/>
          <w:sz w:val="32"/>
          <w:szCs w:val="32"/>
          <w:lang w:val="en-US" w:eastAsia="zh-CN"/>
        </w:rPr>
        <w:t>内，</w:t>
      </w:r>
      <w:r>
        <w:rPr>
          <w:rFonts w:hint="eastAsia" w:ascii="仿宋_GB2312" w:hAnsi="仿宋_GB2312" w:eastAsia="仿宋_GB2312" w:cs="仿宋_GB2312"/>
          <w:color w:val="auto"/>
          <w:sz w:val="32"/>
          <w:szCs w:val="32"/>
          <w:lang w:eastAsia="zh-CN"/>
        </w:rPr>
        <w:t>期末考核（含补考）结束后，考核不合格的必修和限选课程总数达到3门；</w:t>
      </w:r>
    </w:p>
    <w:p>
      <w:pPr>
        <w:pStyle w:val="2"/>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627" w:firstLineChars="196"/>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2.自入学起，经过补考、重修后考核不合格的必修课和限选课程累计达到5门，不足7门。</w:t>
      </w:r>
    </w:p>
    <w:p>
      <w:pPr>
        <w:pStyle w:val="2"/>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627" w:firstLineChars="196"/>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（三）有以下情形之一的，给予红色预警。</w:t>
      </w:r>
    </w:p>
    <w:p>
      <w:pPr>
        <w:pStyle w:val="2"/>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627" w:firstLineChars="196"/>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1.前一学期</w:t>
      </w:r>
      <w:r>
        <w:rPr>
          <w:rFonts w:hint="eastAsia" w:ascii="仿宋_GB2312" w:hAnsi="仿宋_GB2312" w:eastAsia="仿宋_GB2312" w:cs="仿宋_GB2312"/>
          <w:color w:val="auto"/>
          <w:sz w:val="32"/>
          <w:szCs w:val="32"/>
          <w:lang w:val="en-US" w:eastAsia="zh-CN"/>
        </w:rPr>
        <w:t>内，</w:t>
      </w:r>
      <w:r>
        <w:rPr>
          <w:rFonts w:hint="eastAsia" w:ascii="仿宋_GB2312" w:hAnsi="仿宋_GB2312" w:eastAsia="仿宋_GB2312" w:cs="仿宋_GB2312"/>
          <w:color w:val="auto"/>
          <w:sz w:val="32"/>
          <w:szCs w:val="32"/>
          <w:lang w:eastAsia="zh-CN"/>
        </w:rPr>
        <w:t>期末考核（含补考）结束后，考核不合格的必修和限选课程总数达到4门；</w:t>
      </w:r>
    </w:p>
    <w:p>
      <w:pPr>
        <w:pStyle w:val="2"/>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627" w:firstLineChars="196"/>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2.自入学起，经过补考、重修后考核不合格的必修课和限选课程累计达到或超过7门。</w:t>
      </w:r>
    </w:p>
    <w:p>
      <w:pPr>
        <w:pStyle w:val="2"/>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630" w:firstLineChars="196"/>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lang w:eastAsia="zh-CN"/>
        </w:rPr>
        <w:t xml:space="preserve">第四条 </w:t>
      </w:r>
      <w:r>
        <w:rPr>
          <w:rFonts w:hint="eastAsia" w:ascii="仿宋_GB2312" w:hAnsi="仿宋_GB2312" w:eastAsia="仿宋_GB2312" w:cs="仿宋_GB2312"/>
          <w:color w:val="auto"/>
          <w:sz w:val="32"/>
          <w:szCs w:val="32"/>
          <w:lang w:eastAsia="zh-CN"/>
        </w:rPr>
        <w:t>各学院应建立以院长、书记为负责人，分管教学的副院长和学生工作的副书记、辅导员、教学秘书为成员的学业预警工作小组负责实施学业预警，并进行学业援助。教务处、学生处协助和督促。</w:t>
      </w:r>
    </w:p>
    <w:p>
      <w:pPr>
        <w:keepNext w:val="0"/>
        <w:keepLines w:val="0"/>
        <w:pageBreakBefore w:val="0"/>
        <w:widowControl w:val="0"/>
        <w:tabs>
          <w:tab w:val="left" w:pos="2045"/>
        </w:tabs>
        <w:kinsoku/>
        <w:wordWrap/>
        <w:overflowPunct/>
        <w:topLinePunct w:val="0"/>
        <w:autoSpaceDE w:val="0"/>
        <w:autoSpaceDN w:val="0"/>
        <w:bidi w:val="0"/>
        <w:adjustRightInd/>
        <w:snapToGrid w:val="0"/>
        <w:spacing w:line="36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lang w:eastAsia="zh-CN"/>
        </w:rPr>
        <w:t xml:space="preserve">第五条 </w:t>
      </w:r>
      <w:r>
        <w:rPr>
          <w:rFonts w:hint="eastAsia" w:ascii="仿宋_GB2312" w:hAnsi="仿宋_GB2312" w:eastAsia="仿宋_GB2312" w:cs="仿宋_GB2312"/>
          <w:color w:val="auto"/>
          <w:sz w:val="32"/>
          <w:szCs w:val="32"/>
          <w:lang w:eastAsia="zh-CN"/>
        </w:rPr>
        <w:t>学业预警</w:t>
      </w:r>
      <w:r>
        <w:rPr>
          <w:rFonts w:hint="eastAsia" w:ascii="仿宋_GB2312" w:hAnsi="仿宋_GB2312" w:eastAsia="仿宋_GB2312" w:cs="仿宋_GB2312"/>
          <w:color w:val="auto"/>
          <w:sz w:val="32"/>
          <w:szCs w:val="32"/>
          <w:lang w:val="en-US" w:eastAsia="zh-CN"/>
        </w:rPr>
        <w:t>实施程序</w:t>
      </w:r>
    </w:p>
    <w:p>
      <w:pPr>
        <w:pStyle w:val="2"/>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627" w:firstLineChars="196"/>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（一）学业预警工作按学期进行，</w:t>
      </w:r>
      <w:r>
        <w:rPr>
          <w:rFonts w:hint="eastAsia" w:ascii="仿宋_GB2312" w:hAnsi="仿宋_GB2312" w:eastAsia="仿宋_GB2312" w:cs="仿宋_GB2312"/>
          <w:color w:val="auto"/>
          <w:sz w:val="32"/>
          <w:szCs w:val="32"/>
          <w:lang w:eastAsia="zh-CN"/>
        </w:rPr>
        <w:t>每学期开学后2周内，各学院依据专业培养方案对学生学业情况进行审核，确定各级学业预警学生名单，提出学业预警建议，下达《</w:t>
      </w:r>
      <w:r>
        <w:rPr>
          <w:rFonts w:hint="eastAsia" w:ascii="仿宋_GB2312" w:hAnsi="仿宋_GB2312" w:eastAsia="仿宋_GB2312" w:cs="仿宋_GB2312"/>
          <w:color w:val="auto"/>
          <w:sz w:val="32"/>
          <w:szCs w:val="32"/>
          <w:lang w:val="en-US" w:eastAsia="zh-CN"/>
        </w:rPr>
        <w:t>辽宁师范大学本科生</w:t>
      </w:r>
      <w:r>
        <w:rPr>
          <w:rFonts w:hint="eastAsia" w:ascii="仿宋_GB2312" w:hAnsi="仿宋_GB2312" w:eastAsia="仿宋_GB2312" w:cs="仿宋_GB2312"/>
          <w:color w:val="auto"/>
          <w:sz w:val="32"/>
          <w:szCs w:val="32"/>
          <w:lang w:eastAsia="zh-CN"/>
        </w:rPr>
        <w:t>学业预警通知</w:t>
      </w:r>
      <w:r>
        <w:rPr>
          <w:rFonts w:hint="eastAsia" w:ascii="仿宋_GB2312" w:hAnsi="仿宋_GB2312" w:eastAsia="仿宋_GB2312" w:cs="仿宋_GB2312"/>
          <w:color w:val="auto"/>
          <w:sz w:val="32"/>
          <w:szCs w:val="32"/>
          <w:lang w:val="en-US" w:eastAsia="zh-CN"/>
        </w:rPr>
        <w:t>书</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627" w:firstLineChars="196"/>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（二）学院委派相关负责人对被预警学生进行警示谈话，</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以信件等形式通知家长。对</w:t>
      </w:r>
      <w:r>
        <w:rPr>
          <w:rFonts w:hint="eastAsia" w:ascii="仿宋_GB2312" w:hAnsi="仿宋_GB2312" w:eastAsia="仿宋_GB2312" w:cs="仿宋_GB2312"/>
          <w:color w:val="auto"/>
          <w:sz w:val="32"/>
          <w:szCs w:val="32"/>
          <w:lang w:val="en-US" w:eastAsia="zh-CN"/>
        </w:rPr>
        <w:t>受到</w:t>
      </w:r>
      <w:r>
        <w:rPr>
          <w:rFonts w:hint="eastAsia" w:ascii="仿宋_GB2312" w:hAnsi="仿宋_GB2312" w:eastAsia="仿宋_GB2312" w:cs="仿宋_GB2312"/>
          <w:color w:val="auto"/>
          <w:sz w:val="32"/>
          <w:szCs w:val="32"/>
          <w:lang w:eastAsia="zh-CN"/>
        </w:rPr>
        <w:t>学业预警</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lang w:eastAsia="zh-CN"/>
        </w:rPr>
        <w:t>在学制年限内完成学业有困难的学生，学院可邀请家长面谈。</w:t>
      </w:r>
    </w:p>
    <w:p>
      <w:pPr>
        <w:pStyle w:val="2"/>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627" w:firstLineChars="196"/>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（三）学院应对受到预警的学生应实施有效援助，制订有针对性的援助方案，加强帮扶教育，督促学生完成学习任务。</w:t>
      </w:r>
    </w:p>
    <w:p>
      <w:pPr>
        <w:pStyle w:val="2"/>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627" w:firstLineChars="196"/>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）学院应对警示教育过程进行完整记载并建立管理档案。</w:t>
      </w:r>
    </w:p>
    <w:p>
      <w:pPr>
        <w:pStyle w:val="2"/>
        <w:tabs>
          <w:tab w:val="left" w:pos="2065"/>
        </w:tabs>
        <w:snapToGrid w:val="0"/>
        <w:spacing w:line="460" w:lineRule="exact"/>
        <w:ind w:firstLine="627" w:firstLineChars="196"/>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）每学期开学</w:t>
      </w:r>
      <w:r>
        <w:rPr>
          <w:rFonts w:hint="eastAsia" w:ascii="仿宋_GB2312" w:hAnsi="仿宋_GB2312" w:eastAsia="仿宋_GB2312" w:cs="仿宋_GB2312"/>
          <w:color w:val="auto"/>
          <w:sz w:val="32"/>
          <w:szCs w:val="32"/>
          <w:lang w:val="en-US" w:eastAsia="zh-CN"/>
        </w:rPr>
        <w:t>后4</w:t>
      </w:r>
      <w:r>
        <w:rPr>
          <w:rFonts w:hint="eastAsia" w:ascii="仿宋_GB2312" w:hAnsi="仿宋_GB2312" w:eastAsia="仿宋_GB2312" w:cs="仿宋_GB2312"/>
          <w:color w:val="auto"/>
          <w:sz w:val="32"/>
          <w:szCs w:val="32"/>
          <w:lang w:eastAsia="zh-CN"/>
        </w:rPr>
        <w:t>周内，学院</w:t>
      </w:r>
      <w:r>
        <w:rPr>
          <w:rFonts w:hint="eastAsia" w:ascii="仿宋_GB2312" w:hAnsi="仿宋_GB2312" w:eastAsia="仿宋_GB2312" w:cs="仿宋_GB2312"/>
          <w:color w:val="auto"/>
          <w:sz w:val="32"/>
          <w:szCs w:val="32"/>
          <w:lang w:val="en-US" w:eastAsia="zh-CN"/>
        </w:rPr>
        <w:t>要</w:t>
      </w:r>
      <w:r>
        <w:rPr>
          <w:rFonts w:hint="eastAsia" w:ascii="仿宋_GB2312" w:hAnsi="仿宋_GB2312" w:eastAsia="仿宋_GB2312" w:cs="仿宋_GB2312"/>
          <w:color w:val="auto"/>
          <w:sz w:val="32"/>
          <w:szCs w:val="32"/>
          <w:lang w:eastAsia="zh-CN"/>
        </w:rPr>
        <w:t>将本学院</w:t>
      </w:r>
      <w:r>
        <w:rPr>
          <w:rFonts w:hint="eastAsia" w:ascii="仿宋_GB2312" w:hAnsi="仿宋_GB2312" w:eastAsia="仿宋_GB2312" w:cs="仿宋_GB2312"/>
          <w:color w:val="auto"/>
          <w:sz w:val="32"/>
          <w:szCs w:val="32"/>
          <w:lang w:val="en-US" w:eastAsia="zh-CN"/>
        </w:rPr>
        <w:t>本科生</w:t>
      </w:r>
      <w:r>
        <w:rPr>
          <w:rFonts w:hint="eastAsia" w:ascii="仿宋_GB2312" w:hAnsi="仿宋_GB2312" w:eastAsia="仿宋_GB2312" w:cs="仿宋_GB2312"/>
          <w:color w:val="auto"/>
          <w:sz w:val="32"/>
          <w:szCs w:val="32"/>
          <w:lang w:eastAsia="zh-CN"/>
        </w:rPr>
        <w:t>学业预警汇总表</w:t>
      </w:r>
      <w:r>
        <w:rPr>
          <w:rFonts w:hint="eastAsia" w:ascii="仿宋_GB2312" w:hAnsi="仿宋_GB2312" w:eastAsia="仿宋_GB2312" w:cs="仿宋_GB2312"/>
          <w:color w:val="auto"/>
          <w:sz w:val="32"/>
          <w:szCs w:val="32"/>
          <w:lang w:val="en-US" w:eastAsia="zh-CN"/>
        </w:rPr>
        <w:t>报</w:t>
      </w:r>
      <w:r>
        <w:rPr>
          <w:rFonts w:hint="eastAsia" w:ascii="仿宋_GB2312" w:hAnsi="仿宋_GB2312" w:eastAsia="仿宋_GB2312" w:cs="仿宋_GB2312"/>
          <w:color w:val="auto"/>
          <w:sz w:val="32"/>
          <w:szCs w:val="32"/>
          <w:lang w:eastAsia="zh-CN"/>
        </w:rPr>
        <w:t>教务处备案。</w:t>
      </w:r>
    </w:p>
    <w:p>
      <w:pPr>
        <w:pStyle w:val="2"/>
        <w:tabs>
          <w:tab w:val="left" w:pos="2065"/>
        </w:tabs>
        <w:snapToGrid w:val="0"/>
        <w:spacing w:line="460" w:lineRule="exact"/>
        <w:ind w:firstLine="627" w:firstLineChars="196"/>
        <w:jc w:val="both"/>
        <w:rPr>
          <w:rFonts w:hint="eastAsia" w:ascii="仿宋_GB2312" w:hAnsi="仿宋_GB2312" w:eastAsia="仿宋_GB2312" w:cs="仿宋_GB2312"/>
          <w:color w:val="auto"/>
          <w:sz w:val="32"/>
          <w:szCs w:val="32"/>
          <w:lang w:eastAsia="zh-CN"/>
        </w:rPr>
      </w:pPr>
    </w:p>
    <w:p>
      <w:pPr>
        <w:pStyle w:val="2"/>
        <w:keepNext w:val="0"/>
        <w:keepLines w:val="0"/>
        <w:pageBreakBefore w:val="0"/>
        <w:widowControl w:val="0"/>
        <w:numPr>
          <w:ilvl w:val="0"/>
          <w:numId w:val="1"/>
        </w:numPr>
        <w:kinsoku/>
        <w:wordWrap/>
        <w:overflowPunct/>
        <w:topLinePunct w:val="0"/>
        <w:autoSpaceDE w:val="0"/>
        <w:autoSpaceDN w:val="0"/>
        <w:bidi w:val="0"/>
        <w:adjustRightInd/>
        <w:snapToGrid w:val="0"/>
        <w:spacing w:line="360" w:lineRule="auto"/>
        <w:ind w:left="0" w:leftChars="0" w:right="0" w:rightChars="0" w:firstLine="627" w:firstLineChars="196"/>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学业预警实行动态管理，</w:t>
      </w:r>
      <w:r>
        <w:rPr>
          <w:rFonts w:hint="eastAsia" w:ascii="仿宋_GB2312" w:hAnsi="仿宋_GB2312" w:eastAsia="仿宋_GB2312" w:cs="仿宋_GB2312"/>
          <w:color w:val="auto"/>
          <w:sz w:val="32"/>
          <w:szCs w:val="32"/>
          <w:lang w:eastAsia="zh-CN"/>
        </w:rPr>
        <w:t>学生在警示期内按所修专业、所在年级的正常教学进度较好完成</w:t>
      </w:r>
      <w:r>
        <w:rPr>
          <w:rFonts w:hint="eastAsia" w:ascii="仿宋_GB2312" w:hAnsi="仿宋_GB2312" w:eastAsia="仿宋_GB2312" w:cs="仿宋_GB2312"/>
          <w:color w:val="auto"/>
          <w:sz w:val="32"/>
          <w:szCs w:val="32"/>
          <w:lang w:val="en-US" w:eastAsia="zh-CN"/>
        </w:rPr>
        <w:t>所有</w:t>
      </w:r>
      <w:r>
        <w:rPr>
          <w:rFonts w:hint="eastAsia" w:ascii="仿宋_GB2312" w:hAnsi="仿宋_GB2312" w:eastAsia="仿宋_GB2312" w:cs="仿宋_GB2312"/>
          <w:color w:val="auto"/>
          <w:sz w:val="32"/>
          <w:szCs w:val="32"/>
          <w:lang w:eastAsia="zh-CN"/>
        </w:rPr>
        <w:t>课程学习，</w:t>
      </w:r>
      <w:r>
        <w:rPr>
          <w:rFonts w:hint="eastAsia" w:ascii="仿宋_GB2312" w:hAnsi="仿宋_GB2312" w:eastAsia="仿宋_GB2312" w:cs="仿宋_GB2312"/>
          <w:color w:val="auto"/>
          <w:sz w:val="32"/>
          <w:szCs w:val="32"/>
          <w:lang w:val="en-US" w:eastAsia="zh-CN"/>
        </w:rPr>
        <w:t>考核成绩</w:t>
      </w:r>
      <w:r>
        <w:rPr>
          <w:rFonts w:hint="eastAsia" w:ascii="仿宋_GB2312" w:hAnsi="仿宋_GB2312" w:eastAsia="仿宋_GB2312" w:cs="仿宋_GB2312"/>
          <w:color w:val="auto"/>
          <w:sz w:val="32"/>
          <w:szCs w:val="32"/>
          <w:lang w:eastAsia="zh-CN"/>
        </w:rPr>
        <w:t>不再达到学业预警条件，学业警示</w:t>
      </w:r>
      <w:r>
        <w:rPr>
          <w:rFonts w:hint="eastAsia" w:ascii="仿宋_GB2312" w:hAnsi="仿宋_GB2312" w:eastAsia="仿宋_GB2312" w:cs="仿宋_GB2312"/>
          <w:color w:val="auto"/>
          <w:sz w:val="32"/>
          <w:szCs w:val="32"/>
          <w:lang w:val="en-US" w:eastAsia="zh-CN"/>
        </w:rPr>
        <w:t>自动解除</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val="0"/>
        <w:tabs>
          <w:tab w:val="left" w:pos="2065"/>
        </w:tabs>
        <w:kinsoku/>
        <w:wordWrap/>
        <w:overflowPunct/>
        <w:topLinePunct w:val="0"/>
        <w:autoSpaceDE w:val="0"/>
        <w:autoSpaceDN w:val="0"/>
        <w:bidi w:val="0"/>
        <w:adjustRightInd/>
        <w:snapToGrid w:val="0"/>
        <w:spacing w:line="360" w:lineRule="auto"/>
        <w:ind w:left="0" w:leftChars="0" w:right="0" w:rightChars="0" w:firstLine="630" w:firstLineChars="196"/>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lang w:val="en-US" w:eastAsia="zh-CN"/>
        </w:rPr>
        <w:t xml:space="preserve">第七条 </w:t>
      </w:r>
      <w:r>
        <w:rPr>
          <w:rFonts w:hint="eastAsia" w:ascii="仿宋_GB2312" w:hAnsi="仿宋_GB2312" w:eastAsia="仿宋_GB2312" w:cs="仿宋_GB2312"/>
          <w:color w:val="auto"/>
          <w:sz w:val="32"/>
          <w:szCs w:val="32"/>
          <w:lang w:eastAsia="zh-CN"/>
        </w:rPr>
        <w:t>本办法</w:t>
      </w:r>
      <w:r>
        <w:rPr>
          <w:rFonts w:hint="eastAsia" w:ascii="仿宋_GB2312" w:hAnsi="仿宋_GB2312" w:eastAsia="仿宋_GB2312" w:cs="仿宋_GB2312"/>
          <w:color w:val="auto"/>
          <w:sz w:val="32"/>
          <w:szCs w:val="32"/>
          <w:lang w:eastAsia="zh-CN"/>
        </w:rPr>
        <w:t>自201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月1日起实施，由教务处、学生处负责解释。</w:t>
      </w:r>
      <w:r>
        <w:rPr>
          <w:rFonts w:hint="eastAsia" w:ascii="仿宋_GB2312" w:hAnsi="仿宋_GB2312" w:eastAsia="仿宋_GB2312" w:cs="仿宋_GB2312"/>
          <w:color w:val="auto"/>
          <w:sz w:val="32"/>
          <w:szCs w:val="32"/>
          <w:lang w:val="en-US" w:eastAsia="zh-CN"/>
        </w:rPr>
        <w:t>原《辽宁师范大学本科生学业预警与援助工作实施办法》同时废止，其他有关文件与本文件不一致的，以本办法为准</w:t>
      </w:r>
      <w:r>
        <w:rPr>
          <w:rFonts w:hint="eastAsia" w:ascii="仿宋_GB2312" w:hAnsi="仿宋_GB2312" w:eastAsia="仿宋_GB2312" w:cs="仿宋_GB2312"/>
          <w:color w:val="auto"/>
          <w:sz w:val="32"/>
          <w:szCs w:val="32"/>
          <w:lang w:val="en-US" w:eastAsia="zh-CN"/>
        </w:rPr>
        <w:t>。</w:t>
      </w:r>
    </w:p>
    <w:p>
      <w:pPr>
        <w:pStyle w:val="2"/>
        <w:keepNext w:val="0"/>
        <w:keepLines w:val="0"/>
        <w:pageBreakBefore w:val="0"/>
        <w:widowControl w:val="0"/>
        <w:tabs>
          <w:tab w:val="left" w:pos="2065"/>
        </w:tabs>
        <w:kinsoku/>
        <w:wordWrap/>
        <w:overflowPunct/>
        <w:topLinePunct w:val="0"/>
        <w:autoSpaceDE w:val="0"/>
        <w:autoSpaceDN w:val="0"/>
        <w:bidi w:val="0"/>
        <w:adjustRightInd/>
        <w:snapToGrid w:val="0"/>
        <w:spacing w:line="360" w:lineRule="auto"/>
        <w:ind w:left="0" w:leftChars="0" w:right="0" w:rightChars="0" w:firstLine="627" w:firstLineChars="196"/>
        <w:jc w:val="both"/>
        <w:textAlignment w:val="auto"/>
        <w:outlineLvl w:val="9"/>
        <w:rPr>
          <w:rFonts w:hint="eastAsia" w:ascii="仿宋_GB2312" w:hAnsi="仿宋_GB2312" w:eastAsia="仿宋_GB2312" w:cs="仿宋_GB2312"/>
          <w:color w:val="auto"/>
          <w:sz w:val="32"/>
          <w:szCs w:val="32"/>
          <w:lang w:eastAsia="zh-CN"/>
        </w:rPr>
      </w:pPr>
    </w:p>
    <w:p>
      <w:pPr>
        <w:pStyle w:val="2"/>
        <w:keepNext w:val="0"/>
        <w:keepLines w:val="0"/>
        <w:pageBreakBefore w:val="0"/>
        <w:widowControl w:val="0"/>
        <w:tabs>
          <w:tab w:val="left" w:pos="2065"/>
        </w:tabs>
        <w:kinsoku/>
        <w:wordWrap/>
        <w:overflowPunct/>
        <w:topLinePunct w:val="0"/>
        <w:autoSpaceDE w:val="0"/>
        <w:autoSpaceDN w:val="0"/>
        <w:bidi w:val="0"/>
        <w:adjustRightInd/>
        <w:snapToGrid w:val="0"/>
        <w:spacing w:line="360" w:lineRule="auto"/>
        <w:ind w:left="0" w:leftChars="0" w:right="0" w:rightChars="0" w:firstLine="627" w:firstLineChars="196"/>
        <w:jc w:val="both"/>
        <w:textAlignment w:val="auto"/>
        <w:outlineLvl w:val="9"/>
        <w:rPr>
          <w:rFonts w:hint="eastAsia" w:ascii="仿宋_GB2312" w:hAnsi="仿宋_GB2312" w:eastAsia="仿宋_GB2312" w:cs="仿宋_GB2312"/>
          <w:color w:val="auto"/>
          <w:sz w:val="32"/>
          <w:szCs w:val="32"/>
          <w:lang w:eastAsia="zh-CN"/>
        </w:rPr>
      </w:pPr>
    </w:p>
    <w:sectPr>
      <w:pgSz w:w="11910" w:h="16840"/>
      <w:pgMar w:top="1413" w:right="1800" w:bottom="1157" w:left="1800" w:header="720" w:footer="720" w:gutter="0"/>
      <w:cols w:space="0" w:num="1"/>
      <w:rtlGutter w:val="0"/>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570FD6"/>
    <w:multiLevelType w:val="singleLevel"/>
    <w:tmpl w:val="E8570FD6"/>
    <w:lvl w:ilvl="0" w:tentative="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8A15BF"/>
    <w:rsid w:val="0001550E"/>
    <w:rsid w:val="00034B35"/>
    <w:rsid w:val="00061F74"/>
    <w:rsid w:val="000B5077"/>
    <w:rsid w:val="000B76A2"/>
    <w:rsid w:val="00101B99"/>
    <w:rsid w:val="00184DAD"/>
    <w:rsid w:val="001A2D4A"/>
    <w:rsid w:val="00282724"/>
    <w:rsid w:val="00285085"/>
    <w:rsid w:val="00355A08"/>
    <w:rsid w:val="00394A38"/>
    <w:rsid w:val="004110C8"/>
    <w:rsid w:val="0045771F"/>
    <w:rsid w:val="00473A6F"/>
    <w:rsid w:val="00493C51"/>
    <w:rsid w:val="004D16B2"/>
    <w:rsid w:val="005D0430"/>
    <w:rsid w:val="005E0793"/>
    <w:rsid w:val="005F592B"/>
    <w:rsid w:val="00645BAE"/>
    <w:rsid w:val="0069405A"/>
    <w:rsid w:val="006F7131"/>
    <w:rsid w:val="0078605D"/>
    <w:rsid w:val="007E2745"/>
    <w:rsid w:val="00806976"/>
    <w:rsid w:val="008A15BF"/>
    <w:rsid w:val="008C0F02"/>
    <w:rsid w:val="008D49C2"/>
    <w:rsid w:val="00917536"/>
    <w:rsid w:val="009673A4"/>
    <w:rsid w:val="00977AC8"/>
    <w:rsid w:val="009D19AC"/>
    <w:rsid w:val="009D66D1"/>
    <w:rsid w:val="009F6C6C"/>
    <w:rsid w:val="00A827E9"/>
    <w:rsid w:val="00AB7641"/>
    <w:rsid w:val="00B21D00"/>
    <w:rsid w:val="00BC35D5"/>
    <w:rsid w:val="00C04739"/>
    <w:rsid w:val="00C64AEA"/>
    <w:rsid w:val="00C67A40"/>
    <w:rsid w:val="00CA06F6"/>
    <w:rsid w:val="00CD4345"/>
    <w:rsid w:val="00D5099A"/>
    <w:rsid w:val="00D6755D"/>
    <w:rsid w:val="00DD7F15"/>
    <w:rsid w:val="00DF7033"/>
    <w:rsid w:val="00E61AC0"/>
    <w:rsid w:val="00ED32AF"/>
    <w:rsid w:val="00EE16D4"/>
    <w:rsid w:val="00F073C4"/>
    <w:rsid w:val="00F3005E"/>
    <w:rsid w:val="00F62D93"/>
    <w:rsid w:val="00FB2BAF"/>
    <w:rsid w:val="07610C8E"/>
    <w:rsid w:val="0A890CCC"/>
    <w:rsid w:val="0DBB56EF"/>
    <w:rsid w:val="0EB925BE"/>
    <w:rsid w:val="14095971"/>
    <w:rsid w:val="16A16957"/>
    <w:rsid w:val="16C02ED0"/>
    <w:rsid w:val="1CE96EB8"/>
    <w:rsid w:val="20535851"/>
    <w:rsid w:val="20E52249"/>
    <w:rsid w:val="243C4E68"/>
    <w:rsid w:val="254457C2"/>
    <w:rsid w:val="256F36A6"/>
    <w:rsid w:val="281943AE"/>
    <w:rsid w:val="2BD416FA"/>
    <w:rsid w:val="2CA53FD0"/>
    <w:rsid w:val="30CE428A"/>
    <w:rsid w:val="34866834"/>
    <w:rsid w:val="35BA0180"/>
    <w:rsid w:val="372E7EAC"/>
    <w:rsid w:val="38F22736"/>
    <w:rsid w:val="3A72234D"/>
    <w:rsid w:val="3D9E5C3F"/>
    <w:rsid w:val="3DBD51BF"/>
    <w:rsid w:val="3EB63031"/>
    <w:rsid w:val="3FD54331"/>
    <w:rsid w:val="417C1A12"/>
    <w:rsid w:val="41B9384A"/>
    <w:rsid w:val="48D95248"/>
    <w:rsid w:val="4B4C2174"/>
    <w:rsid w:val="4BAD0767"/>
    <w:rsid w:val="4DB55EBE"/>
    <w:rsid w:val="4DB90255"/>
    <w:rsid w:val="5352269C"/>
    <w:rsid w:val="53754DA5"/>
    <w:rsid w:val="55B372E6"/>
    <w:rsid w:val="56C22448"/>
    <w:rsid w:val="5B466280"/>
    <w:rsid w:val="5D4018E9"/>
    <w:rsid w:val="60C625D4"/>
    <w:rsid w:val="628D38AF"/>
    <w:rsid w:val="634079DD"/>
    <w:rsid w:val="6D530DD8"/>
    <w:rsid w:val="6EAB698E"/>
    <w:rsid w:val="72315133"/>
    <w:rsid w:val="73D94764"/>
    <w:rsid w:val="73E93434"/>
    <w:rsid w:val="77763B7E"/>
    <w:rsid w:val="777C6EC6"/>
    <w:rsid w:val="7B9C5F15"/>
    <w:rsid w:val="7C526287"/>
    <w:rsid w:val="7D0A0B60"/>
    <w:rsid w:val="7EC05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autoSpaceDE/>
      <w:autoSpaceDN/>
      <w:spacing w:before="100" w:beforeAutospacing="1" w:after="100" w:afterAutospacing="1"/>
    </w:pPr>
    <w:rPr>
      <w:sz w:val="24"/>
      <w:szCs w:val="24"/>
      <w:lang w:eastAsia="zh-CN"/>
    </w:rPr>
  </w:style>
  <w:style w:type="table" w:customStyle="1" w:styleId="8">
    <w:name w:val="Table Normal"/>
    <w:unhideWhenUsed/>
    <w:qFormat/>
    <w:uiPriority w:val="2"/>
    <w:tblPr>
      <w:tblLayout w:type="fixed"/>
      <w:tblCellMar>
        <w:top w:w="0" w:type="dxa"/>
        <w:left w:w="0" w:type="dxa"/>
        <w:bottom w:w="0" w:type="dxa"/>
        <w:right w:w="0" w:type="dxa"/>
      </w:tblCellMar>
    </w:tblPr>
  </w:style>
  <w:style w:type="paragraph" w:customStyle="1" w:styleId="9">
    <w:name w:val="列出段落1"/>
    <w:basedOn w:val="1"/>
    <w:qFormat/>
    <w:uiPriority w:val="1"/>
  </w:style>
  <w:style w:type="paragraph" w:customStyle="1" w:styleId="10">
    <w:name w:val="Table Paragraph"/>
    <w:basedOn w:val="1"/>
    <w:qFormat/>
    <w:uiPriority w:val="1"/>
  </w:style>
  <w:style w:type="character" w:customStyle="1" w:styleId="11">
    <w:name w:val="页眉 Char"/>
    <w:basedOn w:val="7"/>
    <w:link w:val="4"/>
    <w:qFormat/>
    <w:uiPriority w:val="99"/>
    <w:rPr>
      <w:rFonts w:ascii="宋体" w:hAnsi="宋体" w:eastAsia="宋体" w:cs="宋体"/>
      <w:sz w:val="18"/>
      <w:szCs w:val="18"/>
    </w:rPr>
  </w:style>
  <w:style w:type="character" w:customStyle="1" w:styleId="12">
    <w:name w:val="页脚 Char"/>
    <w:basedOn w:val="7"/>
    <w:link w:val="3"/>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188</Words>
  <Characters>1077</Characters>
  <Lines>8</Lines>
  <Paragraphs>2</Paragraphs>
  <TotalTime>5</TotalTime>
  <ScaleCrop>false</ScaleCrop>
  <LinksUpToDate>false</LinksUpToDate>
  <CharactersWithSpaces>1263</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2017-06-19T08:54:00Z</dcterms:created>
  <dc:creator>OA系统超级管理员</dc:creator>
  <cp:lastModifiedBy>王刚</cp:lastModifiedBy>
  <cp:lastPrinted>2019-07-23T06:43:00Z</cp:lastPrinted>
  <dcterms:modified xsi:type="dcterms:W3CDTF">2019-09-16T08:17:54Z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2016-05-23T00:00:00Z</vt:filetime>
  </property>
  <property fmtid="{D5CDD505-2E9C-101B-9397-08002B2CF9AE}" pid="3" name="Creator">
    <vt:lpwstr>Microsoft® Word 2016</vt:lpwstr>
  </property>
  <property fmtid="{D5CDD505-2E9C-101B-9397-08002B2CF9AE}" pid="4" name="LastSaved">
    <vt:filetime>2017-06-19T00:00:00Z</vt:filetime>
  </property>
  <property fmtid="{D5CDD505-2E9C-101B-9397-08002B2CF9AE}" pid="5" name="KSOProductBuildVer">
    <vt:lpwstr>2052-11.1.0.9069</vt:lpwstr>
  </property>
</Properties>
</file>