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50B4" w14:textId="030D79B9" w:rsidR="0030631D" w:rsidRDefault="00D92953">
      <w:pPr>
        <w:spacing w:line="54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sidR="00942626">
        <w:rPr>
          <w:rFonts w:ascii="Times New Roman" w:eastAsia="黑体" w:hAnsi="Times New Roman" w:cs="Times New Roman" w:hint="eastAsia"/>
          <w:sz w:val="32"/>
          <w:szCs w:val="32"/>
        </w:rPr>
        <w:t>2</w:t>
      </w:r>
      <w:r>
        <w:rPr>
          <w:rFonts w:ascii="Times New Roman" w:eastAsia="黑体" w:hAnsi="Times New Roman" w:cs="Times New Roman"/>
          <w:sz w:val="32"/>
          <w:szCs w:val="32"/>
        </w:rPr>
        <w:t xml:space="preserve"> </w:t>
      </w:r>
    </w:p>
    <w:p w14:paraId="2346C0B1" w14:textId="77777777" w:rsidR="0030631D" w:rsidRDefault="0030631D">
      <w:pPr>
        <w:spacing w:line="540" w:lineRule="exact"/>
        <w:rPr>
          <w:rFonts w:ascii="Times New Roman" w:eastAsia="黑体" w:hAnsi="Times New Roman" w:cs="Times New Roman"/>
          <w:sz w:val="32"/>
          <w:szCs w:val="32"/>
        </w:rPr>
      </w:pPr>
    </w:p>
    <w:p w14:paraId="6C5AFBB9" w14:textId="77777777" w:rsidR="0030631D" w:rsidRDefault="00D92953">
      <w:pPr>
        <w:spacing w:line="56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lang w:val="en-US"/>
        </w:rPr>
        <w:t>辽宁</w:t>
      </w:r>
      <w:r>
        <w:rPr>
          <w:rFonts w:ascii="Times New Roman" w:eastAsia="方正小标宋简体" w:hAnsi="Times New Roman" w:cs="Times New Roman"/>
          <w:sz w:val="40"/>
          <w:szCs w:val="40"/>
        </w:rPr>
        <w:t>省基础学科拔尖学生培养计划</w:t>
      </w:r>
      <w:r>
        <w:rPr>
          <w:rFonts w:ascii="Times New Roman" w:eastAsia="方正小标宋简体" w:hAnsi="Times New Roman" w:cs="Times New Roman"/>
          <w:sz w:val="40"/>
          <w:szCs w:val="40"/>
        </w:rPr>
        <w:t>2.0</w:t>
      </w:r>
      <w:r>
        <w:rPr>
          <w:rFonts w:ascii="Times New Roman" w:eastAsia="方正小标宋简体" w:hAnsi="Times New Roman" w:cs="Times New Roman"/>
          <w:sz w:val="40"/>
          <w:szCs w:val="40"/>
        </w:rPr>
        <w:t>基地建设指标</w:t>
      </w:r>
      <w:r>
        <w:rPr>
          <w:rFonts w:ascii="Times New Roman" w:eastAsia="方正小标宋简体" w:hAnsi="Times New Roman" w:cs="Times New Roman"/>
          <w:sz w:val="40"/>
          <w:szCs w:val="40"/>
        </w:rPr>
        <w:t xml:space="preserve"> </w:t>
      </w:r>
    </w:p>
    <w:tbl>
      <w:tblPr>
        <w:tblW w:w="1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123"/>
        <w:gridCol w:w="5385"/>
        <w:gridCol w:w="6725"/>
      </w:tblGrid>
      <w:tr w:rsidR="0030631D" w14:paraId="11EE8BB2" w14:textId="77777777">
        <w:trPr>
          <w:trHeight w:val="591"/>
        </w:trPr>
        <w:tc>
          <w:tcPr>
            <w:tcW w:w="811" w:type="dxa"/>
            <w:vAlign w:val="center"/>
          </w:tcPr>
          <w:p w14:paraId="7977D599" w14:textId="77777777" w:rsidR="0030631D" w:rsidRDefault="00D92953">
            <w:pPr>
              <w:pStyle w:val="p0"/>
              <w:widowControl w:val="0"/>
              <w:adjustRightInd w:val="0"/>
              <w:snapToGrid w:val="0"/>
              <w:spacing w:before="0" w:before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一级指标</w:t>
            </w:r>
          </w:p>
        </w:tc>
        <w:tc>
          <w:tcPr>
            <w:tcW w:w="1123" w:type="dxa"/>
            <w:vAlign w:val="center"/>
          </w:tcPr>
          <w:p w14:paraId="054A5648" w14:textId="77777777" w:rsidR="0030631D" w:rsidRDefault="00D92953">
            <w:pPr>
              <w:pStyle w:val="p0"/>
              <w:widowControl w:val="0"/>
              <w:adjustRightInd w:val="0"/>
              <w:snapToGrid w:val="0"/>
              <w:spacing w:before="0" w:before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二级指标</w:t>
            </w:r>
          </w:p>
        </w:tc>
        <w:tc>
          <w:tcPr>
            <w:tcW w:w="5385" w:type="dxa"/>
            <w:vAlign w:val="center"/>
          </w:tcPr>
          <w:p w14:paraId="0FDCB9D6" w14:textId="77777777" w:rsidR="0030631D" w:rsidRDefault="00D92953">
            <w:pPr>
              <w:pStyle w:val="p0"/>
              <w:widowControl w:val="0"/>
              <w:adjustRightInd w:val="0"/>
              <w:snapToGrid w:val="0"/>
              <w:spacing w:before="0" w:beforeAutospacing="0"/>
              <w:jc w:val="center"/>
              <w:rPr>
                <w:rFonts w:ascii="Times New Roman" w:eastAsia="黑体" w:hAnsi="Times New Roman" w:cs="Times New Roman"/>
                <w:sz w:val="28"/>
                <w:szCs w:val="28"/>
              </w:rPr>
            </w:pPr>
            <w:r>
              <w:rPr>
                <w:rFonts w:ascii="Times New Roman" w:eastAsia="黑体" w:hAnsi="Times New Roman" w:cs="Times New Roman"/>
                <w:sz w:val="28"/>
                <w:szCs w:val="28"/>
              </w:rPr>
              <w:t>指标说明</w:t>
            </w:r>
          </w:p>
        </w:tc>
        <w:tc>
          <w:tcPr>
            <w:tcW w:w="6725" w:type="dxa"/>
            <w:vAlign w:val="center"/>
          </w:tcPr>
          <w:p w14:paraId="21D20AA1" w14:textId="77777777" w:rsidR="0030631D" w:rsidRDefault="00D92953">
            <w:pPr>
              <w:pStyle w:val="p0"/>
              <w:widowControl w:val="0"/>
              <w:adjustRightInd w:val="0"/>
              <w:snapToGrid w:val="0"/>
              <w:spacing w:before="0" w:beforeAutospacing="0"/>
              <w:jc w:val="center"/>
              <w:rPr>
                <w:rFonts w:ascii="Times New Roman" w:eastAsia="黑体" w:hAnsi="Times New Roman" w:cs="Times New Roman"/>
                <w:sz w:val="28"/>
                <w:szCs w:val="28"/>
                <w:lang w:val="en-US"/>
              </w:rPr>
            </w:pPr>
            <w:r>
              <w:rPr>
                <w:rFonts w:ascii="Times New Roman" w:eastAsia="黑体" w:hAnsi="Times New Roman" w:cs="Times New Roman"/>
                <w:sz w:val="28"/>
                <w:szCs w:val="28"/>
                <w:lang w:val="en-US"/>
              </w:rPr>
              <w:t>指标来源</w:t>
            </w:r>
          </w:p>
        </w:tc>
      </w:tr>
      <w:tr w:rsidR="0030631D" w14:paraId="36C9EA29" w14:textId="77777777">
        <w:trPr>
          <w:trHeight w:val="1422"/>
        </w:trPr>
        <w:tc>
          <w:tcPr>
            <w:tcW w:w="811" w:type="dxa"/>
            <w:vMerge w:val="restart"/>
            <w:vAlign w:val="center"/>
          </w:tcPr>
          <w:p w14:paraId="0771F0E7" w14:textId="77777777" w:rsidR="0030631D" w:rsidRDefault="00D92953">
            <w:pPr>
              <w:pStyle w:val="p0"/>
              <w:widowControl w:val="0"/>
              <w:adjustRightInd w:val="0"/>
              <w:snapToGrid w:val="0"/>
              <w:spacing w:before="0" w:beforeAutospacing="0" w:line="400" w:lineRule="exact"/>
              <w:jc w:val="both"/>
              <w:rPr>
                <w:rFonts w:ascii="Times New Roman" w:eastAsia="仿宋_GB2312" w:hAnsi="Times New Roman" w:cs="Times New Roman"/>
                <w:b/>
                <w:sz w:val="28"/>
                <w:szCs w:val="28"/>
              </w:rPr>
            </w:pPr>
            <w:r>
              <w:rPr>
                <w:rFonts w:ascii="Times New Roman" w:eastAsia="仿宋_GB2312" w:hAnsi="Times New Roman" w:cs="Times New Roman"/>
                <w:bCs/>
                <w:sz w:val="28"/>
                <w:szCs w:val="28"/>
              </w:rPr>
              <w:t>1.</w:t>
            </w:r>
            <w:r>
              <w:rPr>
                <w:rFonts w:ascii="Times New Roman" w:eastAsia="仿宋_GB2312" w:hAnsi="Times New Roman" w:cs="Times New Roman"/>
                <w:bCs/>
                <w:sz w:val="28"/>
                <w:szCs w:val="28"/>
              </w:rPr>
              <w:t>目标定位（</w:t>
            </w:r>
            <w:r>
              <w:rPr>
                <w:rFonts w:ascii="Times New Roman" w:eastAsia="仿宋_GB2312" w:hAnsi="Times New Roman" w:cs="Times New Roman"/>
                <w:bCs/>
                <w:sz w:val="28"/>
                <w:szCs w:val="28"/>
              </w:rPr>
              <w:t>5</w:t>
            </w:r>
            <w:r>
              <w:rPr>
                <w:rFonts w:ascii="Times New Roman" w:eastAsia="仿宋_GB2312" w:hAnsi="Times New Roman" w:cs="Times New Roman"/>
                <w:bCs/>
                <w:sz w:val="28"/>
                <w:szCs w:val="28"/>
              </w:rPr>
              <w:t>分</w:t>
            </w:r>
            <w:r>
              <w:rPr>
                <w:rFonts w:ascii="Times New Roman" w:eastAsia="仿宋_GB2312" w:hAnsi="Times New Roman" w:cs="Times New Roman"/>
                <w:b/>
                <w:sz w:val="28"/>
                <w:szCs w:val="28"/>
              </w:rPr>
              <w:t>）</w:t>
            </w:r>
          </w:p>
        </w:tc>
        <w:tc>
          <w:tcPr>
            <w:tcW w:w="1123" w:type="dxa"/>
            <w:vAlign w:val="center"/>
          </w:tcPr>
          <w:p w14:paraId="39337B1A" w14:textId="77777777" w:rsidR="0030631D" w:rsidRDefault="00D9295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目标定位</w:t>
            </w:r>
          </w:p>
          <w:p w14:paraId="07065C3B" w14:textId="77777777" w:rsidR="0030631D" w:rsidRDefault="00D9295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分）</w:t>
            </w:r>
          </w:p>
        </w:tc>
        <w:tc>
          <w:tcPr>
            <w:tcW w:w="5385" w:type="dxa"/>
            <w:vAlign w:val="center"/>
          </w:tcPr>
          <w:p w14:paraId="1A0CF75D"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人才培养目标能反映学生未来在社会与专业领域预期取得的成就；符合基础学科拔尖人才培养总体目标，致力于培养具有家国情怀、人文情怀、世界胸怀，能够勇攀世界科学高峰、引领人类文明进步的杰出自然科学家、社会科学家和医学科学家。</w:t>
            </w:r>
          </w:p>
        </w:tc>
        <w:tc>
          <w:tcPr>
            <w:tcW w:w="6725" w:type="dxa"/>
            <w:vAlign w:val="center"/>
          </w:tcPr>
          <w:p w14:paraId="7E7A5989"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《教育部办公厅关于</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年度基础学科拔尖学生培养基地建设工作的通知》（教高厅函〔</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w:t>
            </w:r>
            <w:r>
              <w:rPr>
                <w:rFonts w:ascii="Times New Roman" w:eastAsia="仿宋_GB2312" w:hAnsi="Times New Roman" w:cs="Times New Roman"/>
                <w:sz w:val="28"/>
                <w:szCs w:val="28"/>
              </w:rPr>
              <w:t>21</w:t>
            </w:r>
            <w:r>
              <w:rPr>
                <w:rFonts w:ascii="Times New Roman" w:eastAsia="仿宋_GB2312" w:hAnsi="Times New Roman" w:cs="Times New Roman"/>
                <w:sz w:val="28"/>
                <w:szCs w:val="28"/>
              </w:rPr>
              <w:t>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申报条件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基地育人目标符合拔尖计划</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的定位，致力于培养具有家国情怀、人文情怀、世界胸怀，能够勇攀世界科学高峰、引领人类文明进步的自然科学家、社会科学家、医学科学家。</w:t>
            </w:r>
          </w:p>
        </w:tc>
      </w:tr>
      <w:tr w:rsidR="0030631D" w14:paraId="1DFA54F4" w14:textId="77777777">
        <w:trPr>
          <w:trHeight w:val="699"/>
        </w:trPr>
        <w:tc>
          <w:tcPr>
            <w:tcW w:w="811" w:type="dxa"/>
            <w:vMerge/>
            <w:vAlign w:val="center"/>
          </w:tcPr>
          <w:p w14:paraId="7B28F770" w14:textId="77777777" w:rsidR="0030631D" w:rsidRDefault="0030631D">
            <w:pPr>
              <w:pStyle w:val="p0"/>
              <w:widowControl w:val="0"/>
              <w:adjustRightInd w:val="0"/>
              <w:snapToGrid w:val="0"/>
              <w:spacing w:before="0" w:beforeAutospacing="0" w:line="400" w:lineRule="exact"/>
              <w:jc w:val="both"/>
              <w:rPr>
                <w:rFonts w:ascii="Times New Roman" w:eastAsia="仿宋_GB2312" w:hAnsi="Times New Roman" w:cs="Times New Roman"/>
                <w:b/>
                <w:sz w:val="28"/>
                <w:szCs w:val="28"/>
              </w:rPr>
            </w:pPr>
          </w:p>
        </w:tc>
        <w:tc>
          <w:tcPr>
            <w:tcW w:w="1123" w:type="dxa"/>
            <w:vAlign w:val="center"/>
          </w:tcPr>
          <w:p w14:paraId="6DA98E01" w14:textId="77777777" w:rsidR="0030631D" w:rsidRDefault="00D9295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毕业要求</w:t>
            </w:r>
          </w:p>
          <w:p w14:paraId="1CB9A231" w14:textId="77777777" w:rsidR="0030631D" w:rsidRDefault="00D92953">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分）</w:t>
            </w:r>
          </w:p>
        </w:tc>
        <w:tc>
          <w:tcPr>
            <w:tcW w:w="5385" w:type="dxa"/>
            <w:vAlign w:val="center"/>
          </w:tcPr>
          <w:p w14:paraId="189005F3"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毕业要求能支撑培养目标的达成。</w:t>
            </w:r>
          </w:p>
        </w:tc>
        <w:tc>
          <w:tcPr>
            <w:tcW w:w="6725" w:type="dxa"/>
            <w:vAlign w:val="center"/>
          </w:tcPr>
          <w:p w14:paraId="6840EE14" w14:textId="77777777" w:rsidR="0030631D" w:rsidRDefault="0030631D">
            <w:pPr>
              <w:spacing w:line="400" w:lineRule="exact"/>
              <w:rPr>
                <w:rFonts w:ascii="Times New Roman" w:eastAsia="仿宋_GB2312" w:hAnsi="Times New Roman" w:cs="Times New Roman"/>
                <w:sz w:val="28"/>
                <w:szCs w:val="28"/>
              </w:rPr>
            </w:pPr>
          </w:p>
        </w:tc>
      </w:tr>
      <w:tr w:rsidR="0030631D" w14:paraId="3B6F1984" w14:textId="77777777">
        <w:trPr>
          <w:trHeight w:val="699"/>
        </w:trPr>
        <w:tc>
          <w:tcPr>
            <w:tcW w:w="811" w:type="dxa"/>
            <w:vMerge w:val="restart"/>
            <w:vAlign w:val="center"/>
          </w:tcPr>
          <w:p w14:paraId="2799C665" w14:textId="77777777" w:rsidR="0030631D" w:rsidRDefault="00D92953">
            <w:pPr>
              <w:pStyle w:val="p0"/>
              <w:widowControl w:val="0"/>
              <w:adjustRightInd w:val="0"/>
              <w:snapToGrid w:val="0"/>
              <w:spacing w:before="0" w:beforeAutospacing="0" w:line="400" w:lineRule="exact"/>
              <w:jc w:val="both"/>
              <w:rPr>
                <w:rFonts w:ascii="Times New Roman" w:eastAsia="仿宋_GB2312" w:hAnsi="Times New Roman" w:cs="Times New Roman"/>
                <w:b/>
                <w:sz w:val="28"/>
                <w:szCs w:val="28"/>
              </w:rPr>
            </w:pPr>
            <w:r>
              <w:rPr>
                <w:rFonts w:ascii="Times New Roman" w:eastAsia="仿宋_GB2312" w:hAnsi="Times New Roman" w:cs="Times New Roman"/>
                <w:bCs/>
                <w:sz w:val="28"/>
                <w:szCs w:val="28"/>
              </w:rPr>
              <w:t>2.</w:t>
            </w:r>
            <w:r>
              <w:rPr>
                <w:rFonts w:ascii="Times New Roman" w:eastAsia="仿宋_GB2312" w:hAnsi="Times New Roman" w:cs="Times New Roman"/>
                <w:bCs/>
                <w:sz w:val="28"/>
                <w:szCs w:val="28"/>
              </w:rPr>
              <w:t>前期工作基础（</w:t>
            </w:r>
            <w:r>
              <w:rPr>
                <w:rFonts w:ascii="Times New Roman" w:eastAsia="仿宋_GB2312" w:hAnsi="Times New Roman" w:cs="Times New Roman"/>
                <w:bCs/>
                <w:sz w:val="28"/>
                <w:szCs w:val="28"/>
              </w:rPr>
              <w:t>35</w:t>
            </w:r>
            <w:r>
              <w:rPr>
                <w:rFonts w:ascii="Times New Roman" w:eastAsia="仿宋_GB2312" w:hAnsi="Times New Roman" w:cs="Times New Roman"/>
                <w:bCs/>
                <w:sz w:val="28"/>
                <w:szCs w:val="28"/>
              </w:rPr>
              <w:lastRenderedPageBreak/>
              <w:t>分）</w:t>
            </w:r>
          </w:p>
        </w:tc>
        <w:tc>
          <w:tcPr>
            <w:tcW w:w="1123" w:type="dxa"/>
            <w:tcBorders>
              <w:top w:val="single" w:sz="4" w:space="0" w:color="auto"/>
              <w:left w:val="single" w:sz="4" w:space="0" w:color="auto"/>
              <w:bottom w:val="single" w:sz="4" w:space="0" w:color="auto"/>
              <w:right w:val="single" w:sz="4" w:space="0" w:color="auto"/>
            </w:tcBorders>
            <w:vAlign w:val="center"/>
          </w:tcPr>
          <w:p w14:paraId="515CDB8B"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前期探索与成效（</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分）</w:t>
            </w:r>
          </w:p>
        </w:tc>
        <w:tc>
          <w:tcPr>
            <w:tcW w:w="5385" w:type="dxa"/>
            <w:tcBorders>
              <w:top w:val="single" w:sz="4" w:space="0" w:color="auto"/>
              <w:left w:val="single" w:sz="4" w:space="0" w:color="auto"/>
              <w:bottom w:val="single" w:sz="4" w:space="0" w:color="auto"/>
              <w:right w:val="single" w:sz="4" w:space="0" w:color="auto"/>
            </w:tcBorders>
            <w:vAlign w:val="center"/>
          </w:tcPr>
          <w:p w14:paraId="725F4EF1"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已设立基础学科拔尖人才培养的试点学院或班级；</w:t>
            </w:r>
          </w:p>
          <w:p w14:paraId="4D645F86"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已开展书院制等拔尖人才培养模式探索并取得积极成效；</w:t>
            </w:r>
          </w:p>
          <w:p w14:paraId="1EB167C8"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已开展创新人才培养的探索与实践等。</w:t>
            </w:r>
          </w:p>
        </w:tc>
        <w:tc>
          <w:tcPr>
            <w:tcW w:w="6725" w:type="dxa"/>
            <w:tcBorders>
              <w:top w:val="single" w:sz="4" w:space="0" w:color="auto"/>
              <w:left w:val="single" w:sz="4" w:space="0" w:color="auto"/>
              <w:bottom w:val="single" w:sz="4" w:space="0" w:color="auto"/>
              <w:right w:val="single" w:sz="4" w:space="0" w:color="auto"/>
            </w:tcBorders>
            <w:vAlign w:val="center"/>
          </w:tcPr>
          <w:p w14:paraId="16E71DCE" w14:textId="77777777" w:rsidR="0030631D" w:rsidRDefault="00D92953">
            <w:pPr>
              <w:spacing w:line="3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《教育部办公厅关于</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年度基础学科拔尖学生培养基地建设工作的通知》（教高厅函〔</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w:t>
            </w:r>
            <w:r>
              <w:rPr>
                <w:rFonts w:ascii="Times New Roman" w:eastAsia="仿宋_GB2312" w:hAnsi="Times New Roman" w:cs="Times New Roman"/>
                <w:sz w:val="28"/>
                <w:szCs w:val="28"/>
              </w:rPr>
              <w:t>21</w:t>
            </w:r>
            <w:r>
              <w:rPr>
                <w:rFonts w:ascii="Times New Roman" w:eastAsia="仿宋_GB2312" w:hAnsi="Times New Roman" w:cs="Times New Roman"/>
                <w:sz w:val="28"/>
                <w:szCs w:val="28"/>
              </w:rPr>
              <w:t>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申报条件</w:t>
            </w:r>
            <w:r>
              <w:rPr>
                <w:rFonts w:ascii="Times New Roman" w:eastAsia="仿宋_GB2312" w:hAnsi="Times New Roman" w:cs="Times New Roman"/>
                <w:sz w:val="28"/>
                <w:szCs w:val="28"/>
              </w:rPr>
              <w:t>”</w:t>
            </w:r>
            <w:r>
              <w:rPr>
                <w:rFonts w:ascii="Times New Roman" w:eastAsia="仿宋_GB2312" w:hAnsi="Times New Roman" w:cs="Times New Roman"/>
                <w:sz w:val="28"/>
                <w:szCs w:val="28"/>
                <w:lang w:val="en-US"/>
              </w:rPr>
              <w:t>3.</w:t>
            </w:r>
            <w:r>
              <w:rPr>
                <w:rFonts w:ascii="Times New Roman" w:eastAsia="仿宋_GB2312" w:hAnsi="Times New Roman" w:cs="Times New Roman"/>
                <w:sz w:val="28"/>
                <w:szCs w:val="28"/>
              </w:rPr>
              <w:t>生源整体质量高，能够建立科学化、多阶段的动态进出机制。深入探索书院制、导师制、学分制</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三制</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交叉融通的创新育人模式。</w:t>
            </w:r>
            <w:r>
              <w:rPr>
                <w:rFonts w:ascii="Times New Roman" w:eastAsia="仿宋_GB2312" w:hAnsi="Times New Roman" w:cs="Times New Roman"/>
                <w:sz w:val="28"/>
                <w:szCs w:val="28"/>
              </w:rPr>
              <w:t>……</w:t>
            </w:r>
            <w:r>
              <w:rPr>
                <w:rFonts w:ascii="Times New Roman" w:eastAsia="仿宋_GB2312" w:hAnsi="Times New Roman" w:cs="Times New Roman"/>
                <w:sz w:val="28"/>
                <w:szCs w:val="28"/>
              </w:rPr>
              <w:t>探索学分制，以学分积累作为学生毕业标准，为优秀学生早成</w:t>
            </w:r>
            <w:r>
              <w:rPr>
                <w:rFonts w:ascii="Times New Roman" w:eastAsia="仿宋_GB2312" w:hAnsi="Times New Roman" w:cs="Times New Roman"/>
                <w:sz w:val="28"/>
                <w:szCs w:val="28"/>
              </w:rPr>
              <w:lastRenderedPageBreak/>
              <w:t>才、快成才提供制度安排。</w:t>
            </w:r>
          </w:p>
        </w:tc>
      </w:tr>
      <w:tr w:rsidR="0030631D" w14:paraId="6ED4F672" w14:textId="77777777">
        <w:trPr>
          <w:trHeight w:val="1641"/>
        </w:trPr>
        <w:tc>
          <w:tcPr>
            <w:tcW w:w="811" w:type="dxa"/>
            <w:vMerge/>
            <w:vAlign w:val="center"/>
          </w:tcPr>
          <w:p w14:paraId="3032A0D7" w14:textId="77777777" w:rsidR="0030631D" w:rsidRDefault="0030631D">
            <w:pPr>
              <w:pStyle w:val="p0"/>
              <w:widowControl w:val="0"/>
              <w:adjustRightInd w:val="0"/>
              <w:snapToGrid w:val="0"/>
              <w:spacing w:before="0" w:beforeAutospacing="0"/>
              <w:jc w:val="both"/>
              <w:rPr>
                <w:rFonts w:ascii="Times New Roman" w:eastAsia="仿宋_GB2312" w:hAnsi="Times New Roman" w:cs="Times New Roman"/>
                <w:b/>
              </w:rPr>
            </w:pPr>
          </w:p>
        </w:tc>
        <w:tc>
          <w:tcPr>
            <w:tcW w:w="1123" w:type="dxa"/>
            <w:tcBorders>
              <w:top w:val="single" w:sz="4" w:space="0" w:color="auto"/>
              <w:left w:val="single" w:sz="4" w:space="0" w:color="auto"/>
              <w:bottom w:val="single" w:sz="4" w:space="0" w:color="auto"/>
              <w:right w:val="single" w:sz="4" w:space="0" w:color="auto"/>
            </w:tcBorders>
            <w:vAlign w:val="center"/>
          </w:tcPr>
          <w:p w14:paraId="21512150"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学校教育教学改革的成效（</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分）</w:t>
            </w:r>
          </w:p>
        </w:tc>
        <w:tc>
          <w:tcPr>
            <w:tcW w:w="5385" w:type="dxa"/>
            <w:tcBorders>
              <w:top w:val="single" w:sz="4" w:space="0" w:color="auto"/>
              <w:left w:val="single" w:sz="4" w:space="0" w:color="auto"/>
              <w:bottom w:val="single" w:sz="4" w:space="0" w:color="auto"/>
              <w:right w:val="single" w:sz="4" w:space="0" w:color="auto"/>
            </w:tcBorders>
            <w:vAlign w:val="center"/>
          </w:tcPr>
          <w:p w14:paraId="4077BF4C"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在课程建设、教学方法、考核方式等方面开展了有效改革；</w:t>
            </w:r>
          </w:p>
          <w:p w14:paraId="4CF29A27"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曾获国家级、省级教学成果奖；</w:t>
            </w:r>
          </w:p>
          <w:p w14:paraId="1210B851"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获批国家级、省级一流课程；</w:t>
            </w:r>
          </w:p>
          <w:p w14:paraId="267BAF5A"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获批国家级、省级一流专业</w:t>
            </w:r>
            <w:r>
              <w:rPr>
                <w:rFonts w:ascii="Times New Roman" w:eastAsia="仿宋_GB2312" w:hAnsi="Times New Roman" w:cs="Times New Roman"/>
                <w:sz w:val="28"/>
                <w:szCs w:val="28"/>
                <w:lang w:val="en-US"/>
              </w:rPr>
              <w:t>建设点</w:t>
            </w:r>
            <w:r>
              <w:rPr>
                <w:rFonts w:ascii="Times New Roman" w:eastAsia="仿宋_GB2312" w:hAnsi="Times New Roman" w:cs="Times New Roman"/>
                <w:sz w:val="28"/>
                <w:szCs w:val="28"/>
              </w:rPr>
              <w:t>；</w:t>
            </w:r>
          </w:p>
          <w:p w14:paraId="7202E4D0"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获批国家级、省级教学团队；</w:t>
            </w:r>
          </w:p>
          <w:p w14:paraId="7410E696"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6.</w:t>
            </w:r>
            <w:r>
              <w:rPr>
                <w:rFonts w:ascii="Times New Roman" w:eastAsia="仿宋_GB2312" w:hAnsi="Times New Roman" w:cs="Times New Roman"/>
                <w:sz w:val="28"/>
                <w:szCs w:val="28"/>
              </w:rPr>
              <w:t>获批国家级、省级实验教学示范中心（虚拟仿真中心）。</w:t>
            </w:r>
          </w:p>
        </w:tc>
        <w:tc>
          <w:tcPr>
            <w:tcW w:w="6725" w:type="dxa"/>
            <w:tcBorders>
              <w:top w:val="single" w:sz="4" w:space="0" w:color="auto"/>
              <w:left w:val="single" w:sz="4" w:space="0" w:color="auto"/>
              <w:bottom w:val="single" w:sz="4" w:space="0" w:color="auto"/>
              <w:right w:val="single" w:sz="4" w:space="0" w:color="auto"/>
            </w:tcBorders>
            <w:vAlign w:val="center"/>
          </w:tcPr>
          <w:p w14:paraId="476AFF67"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《教育部办公厅关于</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年度基础学科拔尖学生培养基地建设工作的通知》（教高厅函〔</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w:t>
            </w:r>
            <w:r>
              <w:rPr>
                <w:rFonts w:ascii="Times New Roman" w:eastAsia="仿宋_GB2312" w:hAnsi="Times New Roman" w:cs="Times New Roman"/>
                <w:sz w:val="28"/>
                <w:szCs w:val="28"/>
              </w:rPr>
              <w:t>21</w:t>
            </w:r>
            <w:r>
              <w:rPr>
                <w:rFonts w:ascii="Times New Roman" w:eastAsia="仿宋_GB2312" w:hAnsi="Times New Roman" w:cs="Times New Roman"/>
                <w:sz w:val="28"/>
                <w:szCs w:val="28"/>
              </w:rPr>
              <w:t>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申报条件</w:t>
            </w:r>
            <w:r>
              <w:rPr>
                <w:rFonts w:ascii="Times New Roman" w:eastAsia="仿宋_GB2312" w:hAnsi="Times New Roman" w:cs="Times New Roman"/>
                <w:sz w:val="28"/>
                <w:szCs w:val="28"/>
              </w:rPr>
              <w:t>”</w:t>
            </w:r>
            <w:r>
              <w:rPr>
                <w:rFonts w:ascii="Times New Roman" w:eastAsia="仿宋_GB2312" w:hAnsi="Times New Roman" w:cs="Times New Roman"/>
                <w:sz w:val="28"/>
                <w:szCs w:val="28"/>
                <w:lang w:val="en-US"/>
              </w:rPr>
              <w:t>2.</w:t>
            </w:r>
            <w:r>
              <w:rPr>
                <w:rFonts w:ascii="Times New Roman" w:eastAsia="仿宋_GB2312" w:hAnsi="Times New Roman" w:cs="Times New Roman"/>
                <w:sz w:val="28"/>
                <w:szCs w:val="28"/>
              </w:rPr>
              <w:t>申报高校能把握人才培养改革方向，在课程建设、教学方法、学生考核方式等方面开展改革并取得积极成效。已开展拔尖学生培养的前期探索，申报基地涉及的专业领域教学改革成效显著。</w:t>
            </w:r>
          </w:p>
        </w:tc>
      </w:tr>
      <w:tr w:rsidR="0030631D" w14:paraId="1809BBD5" w14:textId="77777777">
        <w:trPr>
          <w:trHeight w:val="824"/>
        </w:trPr>
        <w:tc>
          <w:tcPr>
            <w:tcW w:w="811" w:type="dxa"/>
            <w:vMerge w:val="restart"/>
            <w:vAlign w:val="center"/>
          </w:tcPr>
          <w:p w14:paraId="7AFF600F" w14:textId="77777777" w:rsidR="0030631D" w:rsidRDefault="00D92953">
            <w:pPr>
              <w:pStyle w:val="p0"/>
              <w:widowControl w:val="0"/>
              <w:adjustRightInd w:val="0"/>
              <w:snapToGrid w:val="0"/>
              <w:spacing w:before="0" w:beforeAutospacing="0"/>
              <w:jc w:val="both"/>
              <w:rPr>
                <w:rFonts w:ascii="Times New Roman" w:eastAsia="仿宋_GB2312" w:hAnsi="Times New Roman" w:cs="Times New Roman"/>
                <w:b/>
              </w:rPr>
            </w:pPr>
            <w:r>
              <w:rPr>
                <w:rFonts w:ascii="Times New Roman" w:eastAsia="仿宋_GB2312" w:hAnsi="Times New Roman" w:cs="Times New Roman"/>
                <w:sz w:val="28"/>
                <w:szCs w:val="28"/>
              </w:rPr>
              <w:t>3.</w:t>
            </w:r>
            <w:bookmarkStart w:id="0" w:name="_Hlk117196385"/>
            <w:r>
              <w:rPr>
                <w:rFonts w:ascii="Times New Roman" w:eastAsia="仿宋_GB2312" w:hAnsi="Times New Roman" w:cs="Times New Roman"/>
                <w:sz w:val="28"/>
                <w:szCs w:val="28"/>
              </w:rPr>
              <w:t>育人机制和措施</w:t>
            </w:r>
            <w:bookmarkEnd w:id="0"/>
            <w:r>
              <w:rPr>
                <w:rFonts w:ascii="Times New Roman" w:eastAsia="仿宋_GB2312" w:hAnsi="Times New Roman" w:cs="Times New Roman"/>
                <w:sz w:val="28"/>
                <w:szCs w:val="28"/>
              </w:rPr>
              <w:t>（</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分）</w:t>
            </w:r>
          </w:p>
        </w:tc>
        <w:tc>
          <w:tcPr>
            <w:tcW w:w="1123" w:type="dxa"/>
            <w:tcBorders>
              <w:top w:val="single" w:sz="4" w:space="0" w:color="auto"/>
              <w:left w:val="single" w:sz="4" w:space="0" w:color="auto"/>
              <w:bottom w:val="single" w:sz="4" w:space="0" w:color="auto"/>
              <w:right w:val="single" w:sz="4" w:space="0" w:color="auto"/>
            </w:tcBorders>
            <w:vAlign w:val="center"/>
          </w:tcPr>
          <w:p w14:paraId="321507FA"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强化使命驱动（</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分）</w:t>
            </w:r>
          </w:p>
        </w:tc>
        <w:tc>
          <w:tcPr>
            <w:tcW w:w="5385" w:type="dxa"/>
            <w:tcBorders>
              <w:top w:val="single" w:sz="4" w:space="0" w:color="auto"/>
              <w:left w:val="single" w:sz="4" w:space="0" w:color="auto"/>
              <w:bottom w:val="single" w:sz="4" w:space="0" w:color="auto"/>
              <w:right w:val="single" w:sz="4" w:space="0" w:color="auto"/>
            </w:tcBorders>
            <w:vAlign w:val="center"/>
          </w:tcPr>
          <w:p w14:paraId="6BDFC448"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能够采取有效措施，引导学生面向国家及</w:t>
            </w:r>
            <w:r>
              <w:rPr>
                <w:rFonts w:ascii="Times New Roman" w:eastAsia="仿宋_GB2312" w:hAnsi="Times New Roman" w:cs="Times New Roman"/>
                <w:sz w:val="28"/>
                <w:szCs w:val="28"/>
                <w:lang w:val="en-US"/>
              </w:rPr>
              <w:t>辽宁</w:t>
            </w:r>
            <w:r>
              <w:rPr>
                <w:rFonts w:ascii="Times New Roman" w:eastAsia="仿宋_GB2312" w:hAnsi="Times New Roman" w:cs="Times New Roman"/>
                <w:sz w:val="28"/>
                <w:szCs w:val="28"/>
              </w:rPr>
              <w:t>重大战略需求、人类未来发展、思想文化创新和基础学科前沿，增强使命责任。为学生攀登学术高峰搭建了一系列平台或机制。</w:t>
            </w:r>
          </w:p>
        </w:tc>
        <w:tc>
          <w:tcPr>
            <w:tcW w:w="6725" w:type="dxa"/>
            <w:tcBorders>
              <w:top w:val="single" w:sz="4" w:space="0" w:color="auto"/>
              <w:left w:val="single" w:sz="4" w:space="0" w:color="auto"/>
              <w:bottom w:val="single" w:sz="4" w:space="0" w:color="auto"/>
              <w:right w:val="single" w:sz="4" w:space="0" w:color="auto"/>
            </w:tcBorders>
            <w:vAlign w:val="center"/>
          </w:tcPr>
          <w:p w14:paraId="0279DC6C" w14:textId="77777777" w:rsidR="0030631D" w:rsidRDefault="00D92953">
            <w:pPr>
              <w:spacing w:line="3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《教育部等六部门关于实施基础学科拔尖学生培养计划</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的意见》（教高〔</w:t>
            </w:r>
            <w:r>
              <w:rPr>
                <w:rFonts w:ascii="Times New Roman" w:eastAsia="仿宋_GB2312" w:hAnsi="Times New Roman" w:cs="Times New Roman"/>
                <w:sz w:val="28"/>
                <w:szCs w:val="28"/>
              </w:rPr>
              <w:t>2018</w:t>
            </w:r>
            <w:r>
              <w:rPr>
                <w:rFonts w:ascii="Times New Roman" w:eastAsia="仿宋_GB2312" w:hAnsi="Times New Roman" w:cs="Times New Roman"/>
                <w:sz w:val="28"/>
                <w:szCs w:val="28"/>
              </w:rPr>
              <w:t>〕</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号）：</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三、改革任务和重点举措</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lang w:val="en-US"/>
              </w:rPr>
              <w:t>一</w:t>
            </w:r>
            <w:r>
              <w:rPr>
                <w:rFonts w:ascii="Times New Roman" w:eastAsia="仿宋_GB2312" w:hAnsi="Times New Roman" w:cs="Times New Roman"/>
                <w:sz w:val="28"/>
                <w:szCs w:val="28"/>
              </w:rPr>
              <w:t>）强化使命驱动。引导学生面向国家战略需求、人类未来发展、思想文化创新和基础学科前沿，增强使命责任，激发学术志趣和内在动力。</w:t>
            </w:r>
            <w:r>
              <w:rPr>
                <w:rFonts w:ascii="Times New Roman" w:eastAsia="仿宋_GB2312" w:hAnsi="Times New Roman" w:cs="Times New Roman"/>
                <w:sz w:val="28"/>
                <w:szCs w:val="28"/>
              </w:rPr>
              <w:t>……</w:t>
            </w:r>
            <w:r>
              <w:rPr>
                <w:rFonts w:ascii="Times New Roman" w:eastAsia="仿宋_GB2312" w:hAnsi="Times New Roman" w:cs="Times New Roman"/>
                <w:sz w:val="28"/>
                <w:szCs w:val="28"/>
              </w:rPr>
              <w:t>依托国家科技计划，在国家战略布局的重点和重大研究领域，鼓励学生早进课题、早进实验室、早进团队，为学生攀登学术高峰搭建平台。</w:t>
            </w:r>
          </w:p>
        </w:tc>
      </w:tr>
      <w:tr w:rsidR="0030631D" w14:paraId="33BF3761" w14:textId="77777777">
        <w:trPr>
          <w:trHeight w:val="1437"/>
        </w:trPr>
        <w:tc>
          <w:tcPr>
            <w:tcW w:w="811" w:type="dxa"/>
            <w:vMerge/>
            <w:vAlign w:val="center"/>
          </w:tcPr>
          <w:p w14:paraId="48778E62" w14:textId="77777777" w:rsidR="0030631D" w:rsidRDefault="0030631D">
            <w:pPr>
              <w:pStyle w:val="p0"/>
              <w:widowControl w:val="0"/>
              <w:adjustRightInd w:val="0"/>
              <w:snapToGrid w:val="0"/>
              <w:spacing w:before="0" w:beforeAutospacing="0"/>
              <w:jc w:val="center"/>
              <w:rPr>
                <w:rFonts w:ascii="Times New Roman" w:eastAsia="仿宋_GB2312" w:hAnsi="Times New Roman" w:cs="Times New Roman"/>
              </w:rPr>
            </w:pPr>
          </w:p>
        </w:tc>
        <w:tc>
          <w:tcPr>
            <w:tcW w:w="1123" w:type="dxa"/>
            <w:vAlign w:val="center"/>
          </w:tcPr>
          <w:p w14:paraId="2D9E1254"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注重大师引领（</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分）</w:t>
            </w:r>
          </w:p>
        </w:tc>
        <w:tc>
          <w:tcPr>
            <w:tcW w:w="5385" w:type="dxa"/>
            <w:vAlign w:val="center"/>
          </w:tcPr>
          <w:p w14:paraId="2431FA5B"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有两院院士、国家级</w:t>
            </w:r>
            <w:r>
              <w:rPr>
                <w:rFonts w:ascii="Times New Roman" w:eastAsia="仿宋_GB2312" w:hAnsi="Times New Roman" w:cs="Times New Roman"/>
                <w:sz w:val="28"/>
                <w:szCs w:val="28"/>
              </w:rPr>
              <w:t>/</w:t>
            </w:r>
            <w:r>
              <w:rPr>
                <w:rFonts w:ascii="Times New Roman" w:eastAsia="仿宋_GB2312" w:hAnsi="Times New Roman" w:cs="Times New Roman"/>
                <w:sz w:val="28"/>
                <w:szCs w:val="28"/>
              </w:rPr>
              <w:t>省级教学名师、长江学者特聘教授、马工程首席专家或文化名家暨</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四个一批</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人才等参与拔尖人才培养；</w:t>
            </w:r>
          </w:p>
          <w:p w14:paraId="2C5E46BB"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2.</w:t>
            </w:r>
            <w:r>
              <w:rPr>
                <w:rFonts w:ascii="Times New Roman" w:eastAsia="仿宋_GB2312" w:hAnsi="Times New Roman" w:cs="Times New Roman"/>
                <w:sz w:val="28"/>
                <w:szCs w:val="28"/>
              </w:rPr>
              <w:t>能够有效实施导师制，为拔尖学生提供全方位指导等。</w:t>
            </w:r>
          </w:p>
        </w:tc>
        <w:tc>
          <w:tcPr>
            <w:tcW w:w="6725" w:type="dxa"/>
            <w:vAlign w:val="center"/>
          </w:tcPr>
          <w:p w14:paraId="37CC4D53"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教高〔</w:t>
            </w:r>
            <w:r>
              <w:rPr>
                <w:rFonts w:ascii="Times New Roman" w:eastAsia="仿宋_GB2312" w:hAnsi="Times New Roman" w:cs="Times New Roman"/>
                <w:sz w:val="28"/>
                <w:szCs w:val="28"/>
              </w:rPr>
              <w:t>2018</w:t>
            </w:r>
            <w:r>
              <w:rPr>
                <w:rFonts w:ascii="Times New Roman" w:eastAsia="仿宋_GB2312" w:hAnsi="Times New Roman" w:cs="Times New Roman"/>
                <w:sz w:val="28"/>
                <w:szCs w:val="28"/>
              </w:rPr>
              <w:t>〕</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号</w:t>
            </w:r>
            <w:r>
              <w:rPr>
                <w:rFonts w:ascii="Times New Roman" w:eastAsia="仿宋_GB2312" w:hAnsi="Times New Roman" w:cs="Times New Roman"/>
                <w:sz w:val="28"/>
                <w:szCs w:val="28"/>
                <w:lang w:val="en-US"/>
              </w:rPr>
              <w:t>文件</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三、改革任务和重点举措</w:t>
            </w:r>
            <w:r>
              <w:rPr>
                <w:rFonts w:ascii="Times New Roman" w:eastAsia="仿宋_GB2312" w:hAnsi="Times New Roman" w:cs="Times New Roman"/>
                <w:sz w:val="28"/>
                <w:szCs w:val="28"/>
              </w:rPr>
              <w:t>”</w:t>
            </w:r>
            <w:r>
              <w:rPr>
                <w:rFonts w:ascii="Times New Roman" w:eastAsia="仿宋_GB2312" w:hAnsi="Times New Roman" w:cs="Times New Roman"/>
                <w:sz w:val="28"/>
                <w:szCs w:val="28"/>
              </w:rPr>
              <w:t>（二）注重大师引领。汇聚热爱教育、造诣深厚、德才兼备的学术大师参与拔尖人才培养，</w:t>
            </w:r>
            <w:r>
              <w:rPr>
                <w:rFonts w:ascii="Times New Roman" w:eastAsia="仿宋_GB2312" w:hAnsi="Times New Roman" w:cs="Times New Roman"/>
                <w:sz w:val="28"/>
                <w:szCs w:val="28"/>
              </w:rPr>
              <w:t>……</w:t>
            </w:r>
            <w:r>
              <w:rPr>
                <w:rFonts w:ascii="Times New Roman" w:eastAsia="仿宋_GB2312" w:hAnsi="Times New Roman" w:cs="Times New Roman"/>
                <w:sz w:val="28"/>
                <w:szCs w:val="28"/>
              </w:rPr>
              <w:t>。深入实施导师制，设立学业导师、科研导师和生活导师，在</w:t>
            </w:r>
            <w:r>
              <w:rPr>
                <w:rFonts w:ascii="Times New Roman" w:eastAsia="仿宋_GB2312" w:hAnsi="Times New Roman" w:cs="Times New Roman"/>
                <w:sz w:val="28"/>
                <w:szCs w:val="28"/>
              </w:rPr>
              <w:lastRenderedPageBreak/>
              <w:t>课程学习、科学研究、生涯规划等方面对学生给予全方位指导。</w:t>
            </w:r>
          </w:p>
        </w:tc>
      </w:tr>
      <w:tr w:rsidR="0030631D" w14:paraId="6B30C71A" w14:textId="77777777">
        <w:trPr>
          <w:trHeight w:val="274"/>
        </w:trPr>
        <w:tc>
          <w:tcPr>
            <w:tcW w:w="811" w:type="dxa"/>
            <w:vMerge/>
            <w:vAlign w:val="center"/>
          </w:tcPr>
          <w:p w14:paraId="49BC4FFE" w14:textId="77777777" w:rsidR="0030631D" w:rsidRDefault="0030631D">
            <w:pPr>
              <w:pStyle w:val="p0"/>
              <w:widowControl w:val="0"/>
              <w:adjustRightInd w:val="0"/>
              <w:snapToGrid w:val="0"/>
              <w:spacing w:before="0" w:beforeAutospacing="0"/>
              <w:jc w:val="center"/>
              <w:rPr>
                <w:rFonts w:ascii="Times New Roman" w:eastAsia="仿宋_GB2312" w:hAnsi="Times New Roman" w:cs="Times New Roman"/>
              </w:rPr>
            </w:pPr>
          </w:p>
        </w:tc>
        <w:tc>
          <w:tcPr>
            <w:tcW w:w="1123" w:type="dxa"/>
            <w:vAlign w:val="center"/>
          </w:tcPr>
          <w:p w14:paraId="58558F40"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创新学习方式（</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分）</w:t>
            </w:r>
          </w:p>
        </w:tc>
        <w:tc>
          <w:tcPr>
            <w:tcW w:w="5385" w:type="dxa"/>
            <w:vAlign w:val="center"/>
          </w:tcPr>
          <w:p w14:paraId="65656B21" w14:textId="77777777" w:rsidR="0030631D" w:rsidRDefault="00D92953">
            <w:pPr>
              <w:spacing w:line="3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建立了符合学校拔尖人才培养目标的新时代书院，促进拔尖学生的知识学习、价值塑造和人格养成；</w:t>
            </w:r>
          </w:p>
          <w:p w14:paraId="7ECBCBDE" w14:textId="77777777" w:rsidR="0030631D" w:rsidRDefault="00D92953">
            <w:pPr>
              <w:spacing w:line="3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加强学分制改革，注重个性化培养，给学生提供自主选择导师、专业和课程的空间；</w:t>
            </w:r>
          </w:p>
          <w:p w14:paraId="6B58FFA7" w14:textId="77777777" w:rsidR="0030631D" w:rsidRDefault="00D92953">
            <w:pPr>
              <w:spacing w:line="3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能够开展研究性教学，支持学生参与科研项目训练、大学生创新创业训练计划；</w:t>
            </w:r>
          </w:p>
          <w:p w14:paraId="50549B2F" w14:textId="77777777" w:rsidR="0030631D" w:rsidRDefault="00D92953">
            <w:pPr>
              <w:spacing w:line="3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能够以现代信息技术为支撑，创设线上线下、课内课外、虚拟与现实相结合的学习环境和机制等；</w:t>
            </w:r>
          </w:p>
          <w:p w14:paraId="58D23B1B" w14:textId="77777777" w:rsidR="0030631D" w:rsidRDefault="00D92953">
            <w:pPr>
              <w:spacing w:line="3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sz w:val="28"/>
                <w:szCs w:val="28"/>
              </w:rPr>
              <w:t>探索实施荣誉教育人才培养制度，提升学生学习的挑战性，增强优秀学生的荣誉感。</w:t>
            </w:r>
          </w:p>
        </w:tc>
        <w:tc>
          <w:tcPr>
            <w:tcW w:w="6725" w:type="dxa"/>
            <w:vAlign w:val="center"/>
          </w:tcPr>
          <w:p w14:paraId="14325D44" w14:textId="77777777" w:rsidR="0030631D" w:rsidRDefault="00D92953">
            <w:pPr>
              <w:spacing w:line="3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教高〔</w:t>
            </w:r>
            <w:r>
              <w:rPr>
                <w:rFonts w:ascii="Times New Roman" w:eastAsia="仿宋_GB2312" w:hAnsi="Times New Roman" w:cs="Times New Roman"/>
                <w:sz w:val="28"/>
                <w:szCs w:val="28"/>
              </w:rPr>
              <w:t>2018</w:t>
            </w:r>
            <w:r>
              <w:rPr>
                <w:rFonts w:ascii="Times New Roman" w:eastAsia="仿宋_GB2312" w:hAnsi="Times New Roman" w:cs="Times New Roman"/>
                <w:sz w:val="28"/>
                <w:szCs w:val="28"/>
              </w:rPr>
              <w:t>〕</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号</w:t>
            </w:r>
            <w:r>
              <w:rPr>
                <w:rFonts w:ascii="Times New Roman" w:eastAsia="仿宋_GB2312" w:hAnsi="Times New Roman" w:cs="Times New Roman"/>
                <w:sz w:val="28"/>
                <w:szCs w:val="28"/>
                <w:lang w:val="en-US"/>
              </w:rPr>
              <w:t>文件</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三、改革任务和重点举措</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（三）创新学习方式。深入探索书院制模式，</w:t>
            </w:r>
            <w:r>
              <w:rPr>
                <w:rFonts w:ascii="Times New Roman" w:eastAsia="仿宋_GB2312" w:hAnsi="Times New Roman" w:cs="Times New Roman"/>
                <w:sz w:val="28"/>
                <w:szCs w:val="28"/>
              </w:rPr>
              <w:t>……</w:t>
            </w:r>
            <w:r>
              <w:rPr>
                <w:rFonts w:ascii="Times New Roman" w:eastAsia="仿宋_GB2312" w:hAnsi="Times New Roman" w:cs="Times New Roman"/>
                <w:sz w:val="28"/>
                <w:szCs w:val="28"/>
              </w:rPr>
              <w:t>促进拔尖学生的价值塑造和人格养成。注重个性化培养，给学生提供自主选择导师、专业和课程的空间。开展研究性教学，鼓励学生参与科研项目训练，促进学生自主深度学习、建构知识体系、形成多维能力。引导学生多读书、多实践、知民情、懂国情，从经典著作和社会实践中汲取思想养分，获取精神力量，在传承中创新、在创新中发展。探索实施荣誉学位项目，提升学生学习的挑战性，增强优秀学生的荣誉感。以现代信息技术为支撑，创设线上线下、课内课外、虚拟与现实相结合的学习环境和机制，提高学习成效。</w:t>
            </w:r>
          </w:p>
        </w:tc>
      </w:tr>
      <w:tr w:rsidR="0030631D" w14:paraId="128F4B93" w14:textId="77777777">
        <w:trPr>
          <w:trHeight w:val="2542"/>
        </w:trPr>
        <w:tc>
          <w:tcPr>
            <w:tcW w:w="811" w:type="dxa"/>
            <w:vMerge/>
            <w:vAlign w:val="center"/>
          </w:tcPr>
          <w:p w14:paraId="495322A3" w14:textId="77777777" w:rsidR="0030631D" w:rsidRDefault="0030631D">
            <w:pPr>
              <w:pStyle w:val="p0"/>
              <w:widowControl w:val="0"/>
              <w:adjustRightInd w:val="0"/>
              <w:snapToGrid w:val="0"/>
              <w:spacing w:before="0" w:beforeAutospacing="0"/>
              <w:jc w:val="center"/>
              <w:rPr>
                <w:rFonts w:ascii="Times New Roman" w:eastAsia="仿宋_GB2312" w:hAnsi="Times New Roman" w:cs="Times New Roman"/>
              </w:rPr>
            </w:pPr>
          </w:p>
        </w:tc>
        <w:tc>
          <w:tcPr>
            <w:tcW w:w="1123" w:type="dxa"/>
            <w:vAlign w:val="center"/>
          </w:tcPr>
          <w:p w14:paraId="15649A2A"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提升综合素养（</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分）</w:t>
            </w:r>
          </w:p>
        </w:tc>
        <w:tc>
          <w:tcPr>
            <w:tcW w:w="5385" w:type="dxa"/>
            <w:vAlign w:val="center"/>
          </w:tcPr>
          <w:p w14:paraId="4F7AF3A8" w14:textId="77777777" w:rsidR="0030631D" w:rsidRDefault="00D92953">
            <w:pPr>
              <w:spacing w:line="3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能够采取有效措施教育引导学生坚持以马克思主义为指导，践行社会主义核心价值观，传承弘扬中华优秀传统文化，</w:t>
            </w:r>
            <w:r>
              <w:rPr>
                <w:rFonts w:ascii="Times New Roman" w:eastAsia="仿宋_GB2312" w:hAnsi="Times New Roman" w:cs="Times New Roman"/>
                <w:sz w:val="28"/>
                <w:szCs w:val="28"/>
                <w:lang w:val="en-US"/>
              </w:rPr>
              <w:t>努力成为</w:t>
            </w:r>
            <w:r>
              <w:rPr>
                <w:rFonts w:ascii="Times New Roman" w:eastAsia="仿宋_GB2312" w:hAnsi="Times New Roman" w:cs="Times New Roman"/>
                <w:sz w:val="28"/>
                <w:szCs w:val="28"/>
              </w:rPr>
              <w:t>有理想、有本领、有担当的时代新人；</w:t>
            </w:r>
          </w:p>
          <w:p w14:paraId="3AE248ED" w14:textId="77777777" w:rsidR="0030631D" w:rsidRDefault="00D92953">
            <w:pPr>
              <w:spacing w:line="3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lang w:val="en-US"/>
              </w:rPr>
              <w:t>能够</w:t>
            </w:r>
            <w:r>
              <w:rPr>
                <w:rFonts w:ascii="Times New Roman" w:eastAsia="仿宋_GB2312" w:hAnsi="Times New Roman" w:cs="Times New Roman"/>
                <w:sz w:val="28"/>
                <w:szCs w:val="28"/>
              </w:rPr>
              <w:t>加强素质教育，培养学生的家国情怀、人文情怀、世界胸怀，促进学生中西融汇、古今贯通、文理渗透，形成整体的知识观和智慧的生活观；</w:t>
            </w:r>
          </w:p>
          <w:p w14:paraId="16147E39" w14:textId="77777777" w:rsidR="0030631D" w:rsidRDefault="00D92953">
            <w:pPr>
              <w:spacing w:line="34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能够强化</w:t>
            </w:r>
            <w:r>
              <w:rPr>
                <w:rFonts w:ascii="Times New Roman" w:eastAsia="仿宋_GB2312" w:hAnsi="Times New Roman" w:cs="Times New Roman"/>
                <w:sz w:val="28"/>
                <w:szCs w:val="28"/>
                <w:lang w:val="en-US"/>
              </w:rPr>
              <w:t>学生</w:t>
            </w:r>
            <w:r>
              <w:rPr>
                <w:rFonts w:ascii="Times New Roman" w:eastAsia="仿宋_GB2312" w:hAnsi="Times New Roman" w:cs="Times New Roman"/>
                <w:sz w:val="28"/>
                <w:szCs w:val="28"/>
              </w:rPr>
              <w:t>实践能力和创新创业能力</w:t>
            </w:r>
            <w:r>
              <w:rPr>
                <w:rFonts w:ascii="Times New Roman" w:eastAsia="仿宋_GB2312" w:hAnsi="Times New Roman" w:cs="Times New Roman"/>
                <w:sz w:val="28"/>
                <w:szCs w:val="28"/>
                <w:lang w:val="en-US"/>
              </w:rPr>
              <w:t>培养</w:t>
            </w:r>
            <w:r>
              <w:rPr>
                <w:rFonts w:ascii="Times New Roman" w:eastAsia="仿宋_GB2312" w:hAnsi="Times New Roman" w:cs="Times New Roman"/>
                <w:sz w:val="28"/>
                <w:szCs w:val="28"/>
              </w:rPr>
              <w:t>，培育科学道德、批判精神和创新精神，提升沟通表达能力和团队协作精神，造就敢闯会创、敢为天下先的青年英才。</w:t>
            </w:r>
          </w:p>
        </w:tc>
        <w:tc>
          <w:tcPr>
            <w:tcW w:w="6725" w:type="dxa"/>
            <w:vAlign w:val="center"/>
          </w:tcPr>
          <w:p w14:paraId="2B3B072E" w14:textId="77777777" w:rsidR="0030631D" w:rsidRDefault="00D92953">
            <w:pPr>
              <w:spacing w:line="3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教高〔</w:t>
            </w:r>
            <w:r>
              <w:rPr>
                <w:rFonts w:ascii="Times New Roman" w:eastAsia="仿宋_GB2312" w:hAnsi="Times New Roman" w:cs="Times New Roman"/>
                <w:sz w:val="28"/>
                <w:szCs w:val="28"/>
              </w:rPr>
              <w:t>2018</w:t>
            </w:r>
            <w:r>
              <w:rPr>
                <w:rFonts w:ascii="Times New Roman" w:eastAsia="仿宋_GB2312" w:hAnsi="Times New Roman" w:cs="Times New Roman"/>
                <w:sz w:val="28"/>
                <w:szCs w:val="28"/>
              </w:rPr>
              <w:t>〕</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号</w:t>
            </w:r>
            <w:r>
              <w:rPr>
                <w:rFonts w:ascii="Times New Roman" w:eastAsia="仿宋_GB2312" w:hAnsi="Times New Roman" w:cs="Times New Roman"/>
                <w:sz w:val="28"/>
                <w:szCs w:val="28"/>
                <w:lang w:val="en-US"/>
              </w:rPr>
              <w:t>文件</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三、改革任务和重点举措</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四）提升综合素养。教育引导学生坚持以马克思主义为指导，扎根中国大地了解国情民情，践行社会主义核心价值观，传承弘扬中华优秀传统文化，培养有理想、有本领、有担当的时代新人。加强素质教育，培养学生的家国情怀、人文情怀、世界胸怀，促进学生中西融汇、古今贯通、文理渗透，汲取人类文明精华，形成整体的知识观和智慧的生活观。强化实践能力和创新创业能力，培育科学道德、批判精神和创新精神，提升沟通表达能力和团队协作精神，造就敢闯会创、敢为天下先的青年英才。</w:t>
            </w:r>
          </w:p>
        </w:tc>
      </w:tr>
      <w:tr w:rsidR="0030631D" w14:paraId="60D74619" w14:textId="77777777">
        <w:trPr>
          <w:trHeight w:val="2265"/>
        </w:trPr>
        <w:tc>
          <w:tcPr>
            <w:tcW w:w="811" w:type="dxa"/>
            <w:vMerge/>
            <w:vAlign w:val="center"/>
          </w:tcPr>
          <w:p w14:paraId="1E531468" w14:textId="77777777" w:rsidR="0030631D" w:rsidRDefault="0030631D">
            <w:pPr>
              <w:pStyle w:val="p0"/>
              <w:widowControl w:val="0"/>
              <w:adjustRightInd w:val="0"/>
              <w:snapToGrid w:val="0"/>
              <w:spacing w:before="0" w:beforeAutospacing="0"/>
              <w:jc w:val="center"/>
              <w:rPr>
                <w:rFonts w:ascii="Times New Roman" w:eastAsia="仿宋_GB2312" w:hAnsi="Times New Roman" w:cs="Times New Roman"/>
              </w:rPr>
            </w:pPr>
          </w:p>
        </w:tc>
        <w:tc>
          <w:tcPr>
            <w:tcW w:w="1123" w:type="dxa"/>
            <w:vAlign w:val="center"/>
          </w:tcPr>
          <w:p w14:paraId="744290A0"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促进学科交叉（</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分）</w:t>
            </w:r>
          </w:p>
        </w:tc>
        <w:tc>
          <w:tcPr>
            <w:tcW w:w="5385" w:type="dxa"/>
            <w:vAlign w:val="center"/>
          </w:tcPr>
          <w:p w14:paraId="38B348D4"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能够通过建设跨学科课程体系、组建跨学科教学团队、设立交叉学科研究课题，为拔尖学生参与跨学科学习和研究创造条件；</w:t>
            </w:r>
          </w:p>
          <w:p w14:paraId="50FDCCD9"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拥有各类学科交叉研究和育人平台；</w:t>
            </w:r>
          </w:p>
          <w:p w14:paraId="33A886E3"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各类国家级、省级重点实验室、工程中心、工程研究中心等学科平台能够向拔尖学生开放等。</w:t>
            </w:r>
          </w:p>
        </w:tc>
        <w:tc>
          <w:tcPr>
            <w:tcW w:w="6725" w:type="dxa"/>
            <w:vAlign w:val="center"/>
          </w:tcPr>
          <w:p w14:paraId="634B7513"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教高〔</w:t>
            </w:r>
            <w:r>
              <w:rPr>
                <w:rFonts w:ascii="Times New Roman" w:eastAsia="仿宋_GB2312" w:hAnsi="Times New Roman" w:cs="Times New Roman"/>
                <w:sz w:val="28"/>
                <w:szCs w:val="28"/>
              </w:rPr>
              <w:t>2018</w:t>
            </w:r>
            <w:r>
              <w:rPr>
                <w:rFonts w:ascii="Times New Roman" w:eastAsia="仿宋_GB2312" w:hAnsi="Times New Roman" w:cs="Times New Roman"/>
                <w:sz w:val="28"/>
                <w:szCs w:val="28"/>
              </w:rPr>
              <w:t>〕</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号</w:t>
            </w:r>
            <w:r>
              <w:rPr>
                <w:rFonts w:ascii="Times New Roman" w:eastAsia="仿宋_GB2312" w:hAnsi="Times New Roman" w:cs="Times New Roman"/>
                <w:sz w:val="28"/>
                <w:szCs w:val="28"/>
                <w:lang w:val="en-US"/>
              </w:rPr>
              <w:t>文件</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三、改革任务和重点举措</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（四）（五）促进学科交叉、科教融合。把促进交叉作为拔尖创新人才培养的重要途径，建设跨学科课程体系、组建跨学科教学团队、设立交叉学科研究课题，为拔尖学生参与跨学科学习和研究创造条件。处理好</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专</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与</w:t>
            </w:r>
            <w:r>
              <w:rPr>
                <w:rFonts w:ascii="Times New Roman" w:eastAsia="仿宋_GB2312" w:hAnsi="Times New Roman" w:cs="Times New Roman"/>
                <w:sz w:val="28"/>
                <w:szCs w:val="28"/>
              </w:rPr>
              <w:t>“</w:t>
            </w:r>
            <w:r>
              <w:rPr>
                <w:rFonts w:ascii="Times New Roman" w:eastAsia="仿宋_GB2312" w:hAnsi="Times New Roman" w:cs="Times New Roman"/>
                <w:sz w:val="28"/>
                <w:szCs w:val="28"/>
              </w:rPr>
              <w:t>博</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的关系，努力为学生建构</w:t>
            </w:r>
            <w:r>
              <w:rPr>
                <w:rFonts w:ascii="Times New Roman" w:eastAsia="仿宋_GB2312" w:hAnsi="Times New Roman" w:cs="Times New Roman"/>
                <w:sz w:val="28"/>
                <w:szCs w:val="28"/>
              </w:rPr>
              <w:t>“</w:t>
            </w:r>
            <w:r>
              <w:rPr>
                <w:rFonts w:ascii="Times New Roman" w:eastAsia="仿宋_GB2312" w:hAnsi="Times New Roman" w:cs="Times New Roman"/>
                <w:sz w:val="28"/>
                <w:szCs w:val="28"/>
              </w:rPr>
              <w:t>底宽顶尖</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的金字塔型知识结构。深入实施科教结合协同育人计划，搭建高校与科研院所深度合作的战略平台。鼓励学生进入国家实验室、国家重点实验室、教育部重点实验室等参与科技创新实践，大胆探索基础学科前</w:t>
            </w:r>
            <w:r>
              <w:rPr>
                <w:rFonts w:ascii="Times New Roman" w:eastAsia="仿宋_GB2312" w:hAnsi="Times New Roman" w:cs="Times New Roman"/>
                <w:sz w:val="28"/>
                <w:szCs w:val="28"/>
              </w:rPr>
              <w:lastRenderedPageBreak/>
              <w:t>沿，科教协同培养高水平人才。</w:t>
            </w:r>
          </w:p>
        </w:tc>
      </w:tr>
      <w:tr w:rsidR="0030631D" w14:paraId="39008B63" w14:textId="77777777">
        <w:trPr>
          <w:trHeight w:val="2539"/>
        </w:trPr>
        <w:tc>
          <w:tcPr>
            <w:tcW w:w="811" w:type="dxa"/>
            <w:vMerge/>
            <w:vAlign w:val="center"/>
          </w:tcPr>
          <w:p w14:paraId="3DA91203" w14:textId="77777777" w:rsidR="0030631D" w:rsidRDefault="0030631D">
            <w:pPr>
              <w:pStyle w:val="p0"/>
              <w:widowControl w:val="0"/>
              <w:adjustRightInd w:val="0"/>
              <w:snapToGrid w:val="0"/>
              <w:spacing w:before="0" w:beforeAutospacing="0"/>
              <w:jc w:val="center"/>
              <w:rPr>
                <w:rFonts w:ascii="Times New Roman" w:eastAsia="仿宋_GB2312" w:hAnsi="Times New Roman" w:cs="Times New Roman"/>
              </w:rPr>
            </w:pPr>
          </w:p>
        </w:tc>
        <w:tc>
          <w:tcPr>
            <w:tcW w:w="1123" w:type="dxa"/>
            <w:vAlign w:val="center"/>
          </w:tcPr>
          <w:p w14:paraId="1A24CA45"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深化国际合作（</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分）</w:t>
            </w:r>
          </w:p>
        </w:tc>
        <w:tc>
          <w:tcPr>
            <w:tcW w:w="5385" w:type="dxa"/>
            <w:vAlign w:val="center"/>
          </w:tcPr>
          <w:p w14:paraId="10706FFE"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构建了国内外双向互动、合作共赢的拔尖人才培养长效机制；</w:t>
            </w:r>
          </w:p>
          <w:p w14:paraId="44851C38"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能够与国内外一流大学进行学分互认、教师互聘、资源共享，为拔尖学生提供海外研修实习、暑期学校、考察等机会；</w:t>
            </w:r>
          </w:p>
          <w:p w14:paraId="41986BFB"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能够吸引国际学术大师参与拔尖人才培养；</w:t>
            </w:r>
          </w:p>
          <w:p w14:paraId="0F735BA5"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能够为学生接触国际前沿、融入国际一流学术群体创造条件等。</w:t>
            </w:r>
          </w:p>
        </w:tc>
        <w:tc>
          <w:tcPr>
            <w:tcW w:w="6725" w:type="dxa"/>
            <w:vAlign w:val="center"/>
          </w:tcPr>
          <w:p w14:paraId="578F8C27"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教高〔</w:t>
            </w:r>
            <w:r>
              <w:rPr>
                <w:rFonts w:ascii="Times New Roman" w:eastAsia="仿宋_GB2312" w:hAnsi="Times New Roman" w:cs="Times New Roman"/>
                <w:sz w:val="28"/>
                <w:szCs w:val="28"/>
              </w:rPr>
              <w:t>2018</w:t>
            </w:r>
            <w:r>
              <w:rPr>
                <w:rFonts w:ascii="Times New Roman" w:eastAsia="仿宋_GB2312" w:hAnsi="Times New Roman" w:cs="Times New Roman"/>
                <w:sz w:val="28"/>
                <w:szCs w:val="28"/>
              </w:rPr>
              <w:t>〕</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号</w:t>
            </w:r>
            <w:r>
              <w:rPr>
                <w:rFonts w:ascii="Times New Roman" w:eastAsia="仿宋_GB2312" w:hAnsi="Times New Roman" w:cs="Times New Roman"/>
                <w:sz w:val="28"/>
                <w:szCs w:val="28"/>
                <w:lang w:val="en-US"/>
              </w:rPr>
              <w:t>文件</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三、改革任务和重点举措</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四）（六）深化国际合作。构建国内外双向互动、合作共赢的拔尖人才培养长效机制。汇聚全球优质资源，深化与世界顶尖大学的战略合作，吸引国际学术大师参与拔尖人才培养。拓展拔尖学生的国际视野，通过研修实习、暑期学校、短期考察等方式，提升国际文化理解能力。建设国际协同创新团队、打造学术共同体，为拔尖学生接触世界科学文化研究最前沿、融入国际一流学术群体创造条件。</w:t>
            </w:r>
          </w:p>
        </w:tc>
      </w:tr>
      <w:tr w:rsidR="0030631D" w14:paraId="42ACAD22" w14:textId="77777777">
        <w:trPr>
          <w:trHeight w:val="1115"/>
        </w:trPr>
        <w:tc>
          <w:tcPr>
            <w:tcW w:w="811" w:type="dxa"/>
            <w:vMerge/>
            <w:vAlign w:val="center"/>
          </w:tcPr>
          <w:p w14:paraId="64F018EC" w14:textId="77777777" w:rsidR="0030631D" w:rsidRDefault="0030631D">
            <w:pPr>
              <w:pStyle w:val="p0"/>
              <w:widowControl w:val="0"/>
              <w:adjustRightInd w:val="0"/>
              <w:snapToGrid w:val="0"/>
              <w:spacing w:before="0" w:beforeAutospacing="0"/>
              <w:jc w:val="center"/>
              <w:rPr>
                <w:rFonts w:ascii="Times New Roman" w:eastAsia="仿宋_GB2312" w:hAnsi="Times New Roman" w:cs="Times New Roman"/>
              </w:rPr>
            </w:pPr>
          </w:p>
        </w:tc>
        <w:tc>
          <w:tcPr>
            <w:tcW w:w="1123" w:type="dxa"/>
            <w:vAlign w:val="center"/>
          </w:tcPr>
          <w:p w14:paraId="69F90C45"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科学选才鉴才（</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分）</w:t>
            </w:r>
          </w:p>
        </w:tc>
        <w:tc>
          <w:tcPr>
            <w:tcW w:w="5385" w:type="dxa"/>
            <w:vAlign w:val="center"/>
          </w:tcPr>
          <w:p w14:paraId="12589A8C"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生源质量高；</w:t>
            </w:r>
          </w:p>
          <w:p w14:paraId="6C2D9A6A"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能够通过多元科学的方式遴选优秀学生入选计划；</w:t>
            </w:r>
          </w:p>
          <w:p w14:paraId="2C89BF22"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建立了科学化、多阶段的动态进出机制等。</w:t>
            </w:r>
          </w:p>
        </w:tc>
        <w:tc>
          <w:tcPr>
            <w:tcW w:w="6725" w:type="dxa"/>
            <w:vAlign w:val="center"/>
          </w:tcPr>
          <w:p w14:paraId="3B76411C"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教高〔</w:t>
            </w:r>
            <w:r>
              <w:rPr>
                <w:rFonts w:ascii="Times New Roman" w:eastAsia="仿宋_GB2312" w:hAnsi="Times New Roman" w:cs="Times New Roman"/>
                <w:sz w:val="28"/>
                <w:szCs w:val="28"/>
              </w:rPr>
              <w:t>2018</w:t>
            </w:r>
            <w:r>
              <w:rPr>
                <w:rFonts w:ascii="Times New Roman" w:eastAsia="仿宋_GB2312" w:hAnsi="Times New Roman" w:cs="Times New Roman"/>
                <w:sz w:val="28"/>
                <w:szCs w:val="28"/>
              </w:rPr>
              <w:t>〕</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号</w:t>
            </w:r>
            <w:r>
              <w:rPr>
                <w:rFonts w:ascii="Times New Roman" w:eastAsia="仿宋_GB2312" w:hAnsi="Times New Roman" w:cs="Times New Roman"/>
                <w:sz w:val="28"/>
                <w:szCs w:val="28"/>
                <w:lang w:val="en-US"/>
              </w:rPr>
              <w:t>文件</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三、改革任务和重点举措</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（四）（七）科学选才鉴才。选才与鉴才结合，真正发现和遴选志向远大、学术潜力大、综合能力强、心理素质好的优秀学生。建立科学化、多阶段的动态进出机制，对进入计划的学生进行综合考查、科学分流。</w:t>
            </w:r>
          </w:p>
        </w:tc>
      </w:tr>
      <w:tr w:rsidR="0030631D" w14:paraId="565A0C93" w14:textId="77777777">
        <w:trPr>
          <w:trHeight w:val="1132"/>
        </w:trPr>
        <w:tc>
          <w:tcPr>
            <w:tcW w:w="811" w:type="dxa"/>
            <w:vMerge/>
            <w:vAlign w:val="center"/>
          </w:tcPr>
          <w:p w14:paraId="757AC2A5" w14:textId="77777777" w:rsidR="0030631D" w:rsidRDefault="0030631D">
            <w:pPr>
              <w:pStyle w:val="p0"/>
              <w:widowControl w:val="0"/>
              <w:adjustRightInd w:val="0"/>
              <w:snapToGrid w:val="0"/>
              <w:spacing w:before="0" w:beforeAutospacing="0"/>
              <w:jc w:val="center"/>
              <w:rPr>
                <w:rFonts w:ascii="Times New Roman" w:eastAsia="仿宋_GB2312" w:hAnsi="Times New Roman" w:cs="Times New Roman"/>
              </w:rPr>
            </w:pPr>
          </w:p>
        </w:tc>
        <w:tc>
          <w:tcPr>
            <w:tcW w:w="1123" w:type="dxa"/>
            <w:vAlign w:val="center"/>
          </w:tcPr>
          <w:p w14:paraId="018A3738"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质量监控机制（</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分）</w:t>
            </w:r>
          </w:p>
        </w:tc>
        <w:tc>
          <w:tcPr>
            <w:tcW w:w="5385" w:type="dxa"/>
            <w:vAlign w:val="center"/>
          </w:tcPr>
          <w:p w14:paraId="2E751BD0"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建立了拔尖人才培养的质量管理和自我评估机制；</w:t>
            </w:r>
          </w:p>
          <w:p w14:paraId="5DB8C471"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建立了毕业生跟踪调查机制和人才成长数据库；</w:t>
            </w:r>
          </w:p>
          <w:p w14:paraId="14550C24"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能够根据质量信息持续改进拔尖人才培养工作等。</w:t>
            </w:r>
          </w:p>
        </w:tc>
        <w:tc>
          <w:tcPr>
            <w:tcW w:w="6725" w:type="dxa"/>
            <w:vAlign w:val="center"/>
          </w:tcPr>
          <w:p w14:paraId="1DBF7E39"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教高〔</w:t>
            </w:r>
            <w:r>
              <w:rPr>
                <w:rFonts w:ascii="Times New Roman" w:eastAsia="仿宋_GB2312" w:hAnsi="Times New Roman" w:cs="Times New Roman"/>
                <w:sz w:val="28"/>
                <w:szCs w:val="28"/>
              </w:rPr>
              <w:t>2018</w:t>
            </w:r>
            <w:r>
              <w:rPr>
                <w:rFonts w:ascii="Times New Roman" w:eastAsia="仿宋_GB2312" w:hAnsi="Times New Roman" w:cs="Times New Roman"/>
                <w:sz w:val="28"/>
                <w:szCs w:val="28"/>
              </w:rPr>
              <w:t>〕</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号</w:t>
            </w:r>
            <w:r>
              <w:rPr>
                <w:rFonts w:ascii="Times New Roman" w:eastAsia="仿宋_GB2312" w:hAnsi="Times New Roman" w:cs="Times New Roman"/>
                <w:sz w:val="28"/>
                <w:szCs w:val="28"/>
                <w:lang w:val="en-US"/>
              </w:rPr>
              <w:t>文件</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lang w:val="en-US"/>
              </w:rPr>
              <w:t>四</w:t>
            </w:r>
            <w:r>
              <w:rPr>
                <w:rFonts w:ascii="Times New Roman" w:eastAsia="仿宋_GB2312" w:hAnsi="Times New Roman" w:cs="Times New Roman"/>
                <w:sz w:val="28"/>
                <w:szCs w:val="28"/>
              </w:rPr>
              <w:t>、</w:t>
            </w:r>
            <w:r>
              <w:rPr>
                <w:rFonts w:ascii="Times New Roman" w:eastAsia="仿宋_GB2312" w:hAnsi="Times New Roman" w:cs="Times New Roman"/>
                <w:sz w:val="28"/>
                <w:szCs w:val="28"/>
                <w:lang w:val="en-US"/>
              </w:rPr>
              <w:t>组织实施</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（四）</w:t>
            </w:r>
            <w:r>
              <w:rPr>
                <w:rFonts w:ascii="Times New Roman" w:eastAsia="仿宋_GB2312" w:hAnsi="Times New Roman" w:cs="Times New Roman"/>
                <w:sz w:val="28"/>
                <w:szCs w:val="28"/>
                <w:lang w:val="en-US"/>
              </w:rPr>
              <w:t>实施机制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完善绩效评价机制。推动高校加强拔尖人才培养的质量管理和自我评估，建立毕业生跟踪调查机制和人才成长数据库，根据质量监测和反馈信息不断完善培养方案、培养过程、培养模式和培养机制，持续改进拔尖人才培养工作。</w:t>
            </w:r>
          </w:p>
        </w:tc>
      </w:tr>
      <w:tr w:rsidR="0030631D" w14:paraId="3D4CD2B6" w14:textId="77777777">
        <w:trPr>
          <w:trHeight w:val="2931"/>
        </w:trPr>
        <w:tc>
          <w:tcPr>
            <w:tcW w:w="811" w:type="dxa"/>
            <w:vAlign w:val="center"/>
          </w:tcPr>
          <w:p w14:paraId="57A14243"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sz w:val="28"/>
                <w:szCs w:val="28"/>
              </w:rPr>
              <w:t>保障体系（</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分）</w:t>
            </w:r>
          </w:p>
        </w:tc>
        <w:tc>
          <w:tcPr>
            <w:tcW w:w="1123" w:type="dxa"/>
            <w:tcBorders>
              <w:top w:val="single" w:sz="4" w:space="0" w:color="auto"/>
              <w:left w:val="single" w:sz="4" w:space="0" w:color="auto"/>
              <w:bottom w:val="single" w:sz="4" w:space="0" w:color="auto"/>
              <w:right w:val="single" w:sz="4" w:space="0" w:color="auto"/>
            </w:tcBorders>
            <w:vAlign w:val="center"/>
          </w:tcPr>
          <w:p w14:paraId="6077DC87"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保障体系</w:t>
            </w:r>
          </w:p>
          <w:p w14:paraId="71541F3A" w14:textId="77777777" w:rsidR="0030631D" w:rsidRDefault="00D92953">
            <w:pPr>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分）</w:t>
            </w:r>
          </w:p>
        </w:tc>
        <w:tc>
          <w:tcPr>
            <w:tcW w:w="5385" w:type="dxa"/>
            <w:tcBorders>
              <w:top w:val="single" w:sz="4" w:space="0" w:color="auto"/>
              <w:left w:val="single" w:sz="4" w:space="0" w:color="auto"/>
              <w:bottom w:val="single" w:sz="4" w:space="0" w:color="auto"/>
              <w:right w:val="single" w:sz="4" w:space="0" w:color="auto"/>
            </w:tcBorders>
            <w:vAlign w:val="center"/>
          </w:tcPr>
          <w:p w14:paraId="433EDB66" w14:textId="77777777" w:rsidR="0030631D" w:rsidRDefault="00D92953">
            <w:pPr>
              <w:spacing w:line="3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sz w:val="28"/>
                <w:szCs w:val="28"/>
              </w:rPr>
              <w:t>组织保障。成立了由校（院）长任组长的领导小组、由知名学者和教学名师组成的专家委员会、由相关职能部门组成的工作小组，为计划实施提供支持；</w:t>
            </w:r>
          </w:p>
          <w:p w14:paraId="5D739E1C" w14:textId="77777777" w:rsidR="0030631D" w:rsidRDefault="00D92953">
            <w:pPr>
              <w:spacing w:line="3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sz w:val="28"/>
                <w:szCs w:val="28"/>
              </w:rPr>
              <w:t>政策保障。能够在教师激励、学生奖励、教学管理等方面推进改革，以人才培养为中心推进制度创新，打造拔尖人才培养的绿色通道；</w:t>
            </w:r>
          </w:p>
          <w:p w14:paraId="37859202" w14:textId="77777777" w:rsidR="0030631D" w:rsidRDefault="00D92953">
            <w:pPr>
              <w:spacing w:line="38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sz w:val="28"/>
                <w:szCs w:val="28"/>
              </w:rPr>
              <w:t>经费保障。能够统筹利用教育教学改革专项等各类资源支持基础学科拔尖人才培养。</w:t>
            </w:r>
          </w:p>
        </w:tc>
        <w:tc>
          <w:tcPr>
            <w:tcW w:w="6725" w:type="dxa"/>
            <w:tcBorders>
              <w:top w:val="single" w:sz="4" w:space="0" w:color="auto"/>
              <w:left w:val="single" w:sz="4" w:space="0" w:color="auto"/>
              <w:bottom w:val="single" w:sz="4" w:space="0" w:color="auto"/>
              <w:right w:val="single" w:sz="4" w:space="0" w:color="auto"/>
            </w:tcBorders>
            <w:vAlign w:val="center"/>
          </w:tcPr>
          <w:p w14:paraId="1A3F178B" w14:textId="77777777" w:rsidR="0030631D" w:rsidRDefault="00D92953">
            <w:pPr>
              <w:spacing w:line="3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教高〔</w:t>
            </w:r>
            <w:r>
              <w:rPr>
                <w:rFonts w:ascii="Times New Roman" w:eastAsia="仿宋_GB2312" w:hAnsi="Times New Roman" w:cs="Times New Roman"/>
                <w:sz w:val="28"/>
                <w:szCs w:val="28"/>
              </w:rPr>
              <w:t>2018</w:t>
            </w:r>
            <w:r>
              <w:rPr>
                <w:rFonts w:ascii="Times New Roman" w:eastAsia="仿宋_GB2312" w:hAnsi="Times New Roman" w:cs="Times New Roman"/>
                <w:sz w:val="28"/>
                <w:szCs w:val="28"/>
              </w:rPr>
              <w:t>〕</w:t>
            </w:r>
            <w:r>
              <w:rPr>
                <w:rFonts w:ascii="Times New Roman" w:eastAsia="仿宋_GB2312" w:hAnsi="Times New Roman" w:cs="Times New Roman"/>
                <w:sz w:val="28"/>
                <w:szCs w:val="28"/>
              </w:rPr>
              <w:t>8</w:t>
            </w:r>
            <w:r>
              <w:rPr>
                <w:rFonts w:ascii="Times New Roman" w:eastAsia="仿宋_GB2312" w:hAnsi="Times New Roman" w:cs="Times New Roman"/>
                <w:sz w:val="28"/>
                <w:szCs w:val="28"/>
              </w:rPr>
              <w:t>号</w:t>
            </w:r>
            <w:r>
              <w:rPr>
                <w:rFonts w:ascii="Times New Roman" w:eastAsia="仿宋_GB2312" w:hAnsi="Times New Roman" w:cs="Times New Roman"/>
                <w:sz w:val="28"/>
                <w:szCs w:val="28"/>
                <w:lang w:val="en-US"/>
              </w:rPr>
              <w:t>文件</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lang w:val="en-US"/>
              </w:rPr>
              <w:t>四</w:t>
            </w:r>
            <w:r>
              <w:rPr>
                <w:rFonts w:ascii="Times New Roman" w:eastAsia="仿宋_GB2312" w:hAnsi="Times New Roman" w:cs="Times New Roman"/>
                <w:sz w:val="28"/>
                <w:szCs w:val="28"/>
              </w:rPr>
              <w:t>、</w:t>
            </w:r>
            <w:r>
              <w:rPr>
                <w:rFonts w:ascii="Times New Roman" w:eastAsia="仿宋_GB2312" w:hAnsi="Times New Roman" w:cs="Times New Roman"/>
                <w:sz w:val="28"/>
                <w:szCs w:val="28"/>
                <w:lang w:val="en-US"/>
              </w:rPr>
              <w:t>组织实施</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（三）保障措施。</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加强组织保障。高校成立由校长任组长的领导小组，由知名学者和教学名师组成的专家委员会，由相关职能部门组成的工作小组，在资源配置等方面为计划实施提供支持。</w:t>
            </w:r>
          </w:p>
          <w:p w14:paraId="0176E78C" w14:textId="77777777" w:rsidR="0030631D" w:rsidRDefault="00D92953">
            <w:pPr>
              <w:spacing w:line="3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加强政策保障。改革教师激励办法、学生奖励办法、教学管理办法等，以人才培养为中心推进制度创新，打造拔尖人才培养的绿色通道。</w:t>
            </w:r>
          </w:p>
          <w:p w14:paraId="499D943D" w14:textId="77777777" w:rsidR="0030631D" w:rsidRDefault="00D92953">
            <w:pPr>
              <w:spacing w:line="3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加强经费保障。高校应统筹利用教育教学改革专项等各类资源支持拔尖计划，推动学生国际交流、科研训练和创新实践、学术交流和社会实践活动、国内外高水平教师合作交流等工作的开展。</w:t>
            </w:r>
          </w:p>
        </w:tc>
      </w:tr>
    </w:tbl>
    <w:p w14:paraId="473C5A4C" w14:textId="77777777" w:rsidR="0030631D" w:rsidRDefault="0030631D">
      <w:pPr>
        <w:spacing w:line="620" w:lineRule="exact"/>
        <w:jc w:val="both"/>
        <w:rPr>
          <w:rFonts w:ascii="Times New Roman" w:eastAsia="方正仿宋_GBK" w:hAnsi="Times New Roman" w:cs="Times New Roman"/>
          <w:sz w:val="36"/>
          <w:szCs w:val="36"/>
          <w:lang w:val="en-US"/>
        </w:rPr>
        <w:sectPr w:rsidR="0030631D">
          <w:footerReference w:type="default" r:id="rId7"/>
          <w:pgSz w:w="16838" w:h="11906" w:orient="landscape"/>
          <w:pgMar w:top="1531" w:right="2268" w:bottom="1531" w:left="1531" w:header="851" w:footer="992" w:gutter="0"/>
          <w:pgNumType w:fmt="numberInDash"/>
          <w:cols w:space="0"/>
          <w:docGrid w:type="lines" w:linePitch="327"/>
        </w:sectPr>
      </w:pPr>
    </w:p>
    <w:p w14:paraId="7160E8B4" w14:textId="77777777" w:rsidR="0030631D" w:rsidRDefault="0030631D" w:rsidP="00D92953">
      <w:pPr>
        <w:spacing w:line="620" w:lineRule="exact"/>
        <w:rPr>
          <w:rFonts w:ascii="Times New Roman" w:eastAsia="仿宋_GB2312" w:hAnsi="Times New Roman" w:cs="Times New Roman"/>
          <w:sz w:val="32"/>
          <w:szCs w:val="32"/>
          <w:lang w:val="en-US"/>
        </w:rPr>
      </w:pPr>
    </w:p>
    <w:sectPr w:rsidR="0030631D" w:rsidSect="00D92953">
      <w:footerReference w:type="default" r:id="rId8"/>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C3EF2" w14:textId="77777777" w:rsidR="00FA5A63" w:rsidRDefault="00FA5A63">
      <w:pPr>
        <w:rPr>
          <w:rFonts w:hint="eastAsia"/>
        </w:rPr>
      </w:pPr>
      <w:r>
        <w:separator/>
      </w:r>
    </w:p>
  </w:endnote>
  <w:endnote w:type="continuationSeparator" w:id="0">
    <w:p w14:paraId="22A45013" w14:textId="77777777" w:rsidR="00FA5A63" w:rsidRDefault="00FA5A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C0873580-0A8D-4E1A-9131-581C15DA78B9}"/>
  </w:font>
  <w:font w:name="方正小标宋简体">
    <w:altName w:val="微软雅黑"/>
    <w:charset w:val="86"/>
    <w:family w:val="script"/>
    <w:pitch w:val="fixed"/>
    <w:sig w:usb0="00000001" w:usb1="080E0000" w:usb2="00000010" w:usb3="00000000" w:csb0="00040000" w:csb1="00000000"/>
    <w:embedRegular r:id="rId2" w:subsetted="1" w:fontKey="{6A3F1D6B-5338-48EC-A21B-8603FC603B42}"/>
  </w:font>
  <w:font w:name="仿宋_GB2312">
    <w:altName w:val="微软雅黑"/>
    <w:charset w:val="86"/>
    <w:family w:val="modern"/>
    <w:pitch w:val="fixed"/>
    <w:sig w:usb0="00000001" w:usb1="080E0000" w:usb2="00000010" w:usb3="00000000" w:csb0="00040000" w:csb1="00000000"/>
    <w:embedRegular r:id="rId3" w:subsetted="1" w:fontKey="{DB10F5F8-8FC2-4F6D-9106-AB1FC9D938DE}"/>
    <w:embedBold r:id="rId4" w:subsetted="1" w:fontKey="{A1A4DD2E-225C-442C-AB2F-782D2EB77C9A}"/>
  </w:font>
  <w:font w:name="方正仿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D1D56" w14:textId="77777777" w:rsidR="0030631D" w:rsidRDefault="00D92953">
    <w:pPr>
      <w:pStyle w:val="ac"/>
      <w:jc w:val="center"/>
      <w:rPr>
        <w:rFonts w:hint="eastAsia"/>
        <w:sz w:val="28"/>
        <w:szCs w:val="28"/>
      </w:rPr>
    </w:pPr>
    <w:r>
      <w:rPr>
        <w:noProof/>
        <w:sz w:val="28"/>
        <w:lang w:val="en-US" w:bidi="ar-SA"/>
      </w:rPr>
      <mc:AlternateContent>
        <mc:Choice Requires="wps">
          <w:drawing>
            <wp:anchor distT="0" distB="0" distL="114300" distR="114300" simplePos="0" relativeHeight="251659264" behindDoc="0" locked="0" layoutInCell="1" allowOverlap="1" wp14:anchorId="73F9E30E" wp14:editId="5488790F">
              <wp:simplePos x="0" y="0"/>
              <wp:positionH relativeFrom="margin">
                <wp:align>center</wp:align>
              </wp:positionH>
              <wp:positionV relativeFrom="paragraph">
                <wp:posOffset>0</wp:posOffset>
              </wp:positionV>
              <wp:extent cx="121285" cy="4673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285" cy="467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732656220"/>
                          </w:sdtPr>
                          <w:sdtContent>
                            <w:p w14:paraId="129920B9" w14:textId="77777777" w:rsidR="0030631D" w:rsidRDefault="00D92953">
                              <w:pPr>
                                <w:pStyle w:val="ac"/>
                                <w:jc w:val="center"/>
                                <w:rPr>
                                  <w:rFonts w:hint="eastAsia"/>
                                  <w:sz w:val="28"/>
                                  <w:szCs w:val="28"/>
                                </w:rPr>
                              </w:pPr>
                              <w:r>
                                <w:rPr>
                                  <w:sz w:val="28"/>
                                  <w:szCs w:val="28"/>
                                </w:rPr>
                                <w:fldChar w:fldCharType="begin"/>
                              </w:r>
                              <w:r>
                                <w:rPr>
                                  <w:sz w:val="28"/>
                                  <w:szCs w:val="28"/>
                                </w:rPr>
                                <w:instrText>PAGE   \* MERGEFORMAT</w:instrText>
                              </w:r>
                              <w:r>
                                <w:rPr>
                                  <w:sz w:val="28"/>
                                  <w:szCs w:val="28"/>
                                </w:rPr>
                                <w:fldChar w:fldCharType="separate"/>
                              </w:r>
                              <w:r>
                                <w:rPr>
                                  <w:noProof/>
                                  <w:sz w:val="28"/>
                                  <w:szCs w:val="28"/>
                                </w:rPr>
                                <w:t>1</w:t>
                              </w:r>
                              <w:r>
                                <w:rPr>
                                  <w:sz w:val="28"/>
                                  <w:szCs w:val="28"/>
                                </w:rPr>
                                <w:fldChar w:fldCharType="end"/>
                              </w:r>
                            </w:p>
                          </w:sdtContent>
                        </w:sdt>
                        <w:p w14:paraId="17891EBE" w14:textId="77777777" w:rsidR="0030631D" w:rsidRDefault="0030631D">
                          <w:pPr>
                            <w:rPr>
                              <w:rFonts w:hint="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F9E30E" id="_x0000_t202" coordsize="21600,21600" o:spt="202" path="m,l,21600r21600,l21600,xe">
              <v:stroke joinstyle="miter"/>
              <v:path gradientshapeok="t" o:connecttype="rect"/>
            </v:shapetype>
            <v:shape id="文本框 1" o:spid="_x0000_s1026" type="#_x0000_t202" style="position:absolute;left:0;text-align:left;margin-left:0;margin-top:0;width:9.55pt;height:36.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" filled="f" stroked="f" strokeweight=".5pt">
              <v:textbox style="mso-fit-shape-to-text:t" inset="0,0,0,0">
                <w:txbxContent>
                  <w:sdt>
                    <w:sdtPr>
                      <w:rPr>
                        <w:sz w:val="28"/>
                        <w:szCs w:val="28"/>
                      </w:rPr>
                      <w:id w:val="1732656220"/>
                    </w:sdtPr>
                    <w:sdtContent>
                      <w:p w14:paraId="129920B9" w14:textId="77777777" w:rsidR="0030631D" w:rsidRDefault="00D92953">
                        <w:pPr>
                          <w:pStyle w:val="ac"/>
                          <w:jc w:val="center"/>
                          <w:rPr>
                            <w:rFonts w:hint="eastAsia"/>
                            <w:sz w:val="28"/>
                            <w:szCs w:val="28"/>
                          </w:rPr>
                        </w:pPr>
                        <w:r>
                          <w:rPr>
                            <w:sz w:val="28"/>
                            <w:szCs w:val="28"/>
                          </w:rPr>
                          <w:fldChar w:fldCharType="begin"/>
                        </w:r>
                        <w:r>
                          <w:rPr>
                            <w:sz w:val="28"/>
                            <w:szCs w:val="28"/>
                          </w:rPr>
                          <w:instrText>PAGE   \* MERGEFORMAT</w:instrText>
                        </w:r>
                        <w:r>
                          <w:rPr>
                            <w:sz w:val="28"/>
                            <w:szCs w:val="28"/>
                          </w:rPr>
                          <w:fldChar w:fldCharType="separate"/>
                        </w:r>
                        <w:r>
                          <w:rPr>
                            <w:noProof/>
                            <w:sz w:val="28"/>
                            <w:szCs w:val="28"/>
                          </w:rPr>
                          <w:t>1</w:t>
                        </w:r>
                        <w:r>
                          <w:rPr>
                            <w:sz w:val="28"/>
                            <w:szCs w:val="28"/>
                          </w:rPr>
                          <w:fldChar w:fldCharType="end"/>
                        </w:r>
                      </w:p>
                    </w:sdtContent>
                  </w:sdt>
                  <w:p w14:paraId="17891EBE" w14:textId="77777777" w:rsidR="0030631D" w:rsidRDefault="0030631D">
                    <w:pPr>
                      <w:rPr>
                        <w:rFonts w:hint="eastAsia"/>
                        <w:sz w:val="28"/>
                        <w:szCs w:val="28"/>
                      </w:rPr>
                    </w:pPr>
                  </w:p>
                </w:txbxContent>
              </v:textbox>
              <w10:wrap anchorx="margin"/>
            </v:shape>
          </w:pict>
        </mc:Fallback>
      </mc:AlternateContent>
    </w:r>
  </w:p>
  <w:p w14:paraId="385B5BE3" w14:textId="77777777" w:rsidR="0030631D" w:rsidRDefault="0030631D">
    <w:pPr>
      <w:pStyle w:val="ac"/>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80651"/>
    </w:sdtPr>
    <w:sdtEndPr>
      <w:rPr>
        <w:rFonts w:ascii="Times New Roman" w:eastAsia="楷体" w:hAnsi="Times New Roman" w:cs="Times New Roman"/>
        <w:sz w:val="28"/>
        <w:szCs w:val="28"/>
      </w:rPr>
    </w:sdtEndPr>
    <w:sdtContent>
      <w:p w14:paraId="04F7324A" w14:textId="77777777" w:rsidR="0030631D" w:rsidRDefault="00D92953">
        <w:pPr>
          <w:pStyle w:val="ac"/>
          <w:jc w:val="center"/>
          <w:rPr>
            <w:rFonts w:ascii="Times New Roman" w:eastAsia="楷体" w:hAnsi="Times New Roman" w:cs="Times New Roman"/>
            <w:sz w:val="28"/>
            <w:szCs w:val="28"/>
          </w:rPr>
        </w:pPr>
        <w:r>
          <w:rPr>
            <w:rFonts w:ascii="Times New Roman" w:eastAsia="楷体" w:hAnsi="Times New Roman" w:cs="Times New Roman"/>
            <w:sz w:val="28"/>
            <w:szCs w:val="28"/>
          </w:rPr>
          <w:t xml:space="preserve">— </w:t>
        </w:r>
        <w:r>
          <w:rPr>
            <w:rFonts w:ascii="Times New Roman" w:eastAsia="楷体" w:hAnsi="Times New Roman" w:cs="Times New Roman"/>
            <w:sz w:val="28"/>
            <w:szCs w:val="28"/>
          </w:rPr>
          <w:fldChar w:fldCharType="begin"/>
        </w:r>
        <w:r>
          <w:rPr>
            <w:rFonts w:ascii="Times New Roman" w:eastAsia="楷体" w:hAnsi="Times New Roman" w:cs="Times New Roman"/>
            <w:sz w:val="28"/>
            <w:szCs w:val="28"/>
          </w:rPr>
          <w:instrText>PAGE   \* MERGEFORMAT</w:instrText>
        </w:r>
        <w:r>
          <w:rPr>
            <w:rFonts w:ascii="Times New Roman" w:eastAsia="楷体" w:hAnsi="Times New Roman" w:cs="Times New Roman"/>
            <w:sz w:val="28"/>
            <w:szCs w:val="28"/>
          </w:rPr>
          <w:fldChar w:fldCharType="separate"/>
        </w:r>
        <w:r>
          <w:rPr>
            <w:rFonts w:ascii="Times New Roman" w:eastAsia="楷体" w:hAnsi="Times New Roman" w:cs="Times New Roman"/>
            <w:noProof/>
            <w:sz w:val="28"/>
            <w:szCs w:val="28"/>
          </w:rPr>
          <w:t>6</w:t>
        </w:r>
        <w:r>
          <w:rPr>
            <w:rFonts w:ascii="Times New Roman" w:eastAsia="楷体" w:hAnsi="Times New Roman" w:cs="Times New Roman"/>
            <w:sz w:val="28"/>
            <w:szCs w:val="28"/>
          </w:rPr>
          <w:fldChar w:fldCharType="end"/>
        </w:r>
        <w:r>
          <w:rPr>
            <w:rFonts w:ascii="Times New Roman" w:eastAsia="楷体" w:hAnsi="Times New Roman" w:cs="Times New Roman"/>
            <w:sz w:val="28"/>
            <w:szCs w:val="28"/>
          </w:rPr>
          <w:t xml:space="preserve"> —</w:t>
        </w:r>
      </w:p>
    </w:sdtContent>
  </w:sdt>
  <w:p w14:paraId="1A5100CD" w14:textId="77777777" w:rsidR="0030631D" w:rsidRDefault="0030631D">
    <w:pPr>
      <w:pStyle w:val="ac"/>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8322A" w14:textId="77777777" w:rsidR="00FA5A63" w:rsidRDefault="00FA5A63">
      <w:pPr>
        <w:rPr>
          <w:rFonts w:hint="eastAsia"/>
        </w:rPr>
      </w:pPr>
      <w:r>
        <w:separator/>
      </w:r>
    </w:p>
  </w:footnote>
  <w:footnote w:type="continuationSeparator" w:id="0">
    <w:p w14:paraId="2E22A53C" w14:textId="77777777" w:rsidR="00FA5A63" w:rsidRDefault="00FA5A6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TrueTypeFonts/>
  <w:saveSubsetFonts/>
  <w:bordersDoNotSurroundHeader/>
  <w:bordersDoNotSurroundFooter/>
  <w:proofState w:grammar="clean"/>
  <w:defaultTabStop w:val="420"/>
  <w:drawingGridVerticalSpacing w:val="16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ZmNDc5ZjIyNTc0ZWUwYzVjY2EwMzUxZDMxMWFhZWUifQ=="/>
  </w:docVars>
  <w:rsids>
    <w:rsidRoot w:val="0041663E"/>
    <w:rsid w:val="8FEF2CBB"/>
    <w:rsid w:val="9D5F2501"/>
    <w:rsid w:val="9DE70BBC"/>
    <w:rsid w:val="9FEEF24F"/>
    <w:rsid w:val="A25F14B4"/>
    <w:rsid w:val="ABFD2F4E"/>
    <w:rsid w:val="B30F414C"/>
    <w:rsid w:val="B49FB7FE"/>
    <w:rsid w:val="B6ECCA4C"/>
    <w:rsid w:val="B77D16A2"/>
    <w:rsid w:val="BB7722D5"/>
    <w:rsid w:val="BBF7ED3A"/>
    <w:rsid w:val="BCF1CF2E"/>
    <w:rsid w:val="BCF5E5D3"/>
    <w:rsid w:val="BDED6915"/>
    <w:rsid w:val="BE441573"/>
    <w:rsid w:val="BECDF4CC"/>
    <w:rsid w:val="BF37A4A3"/>
    <w:rsid w:val="BF5F19D5"/>
    <w:rsid w:val="BFBBCDB7"/>
    <w:rsid w:val="BFDFC10B"/>
    <w:rsid w:val="BFFFB314"/>
    <w:rsid w:val="CBDB399E"/>
    <w:rsid w:val="CBF9FE26"/>
    <w:rsid w:val="CCFAA3FC"/>
    <w:rsid w:val="CFFA8827"/>
    <w:rsid w:val="CFFC967B"/>
    <w:rsid w:val="CFFF5D7B"/>
    <w:rsid w:val="D3B6A5CD"/>
    <w:rsid w:val="DAFD3727"/>
    <w:rsid w:val="DDD3B9B4"/>
    <w:rsid w:val="DDE57545"/>
    <w:rsid w:val="DECF5BAD"/>
    <w:rsid w:val="DF3ED17E"/>
    <w:rsid w:val="DFFFB237"/>
    <w:rsid w:val="E779EBC3"/>
    <w:rsid w:val="EF9F871A"/>
    <w:rsid w:val="EFABCF7B"/>
    <w:rsid w:val="EFFDE92A"/>
    <w:rsid w:val="EFFFD902"/>
    <w:rsid w:val="F33E5031"/>
    <w:rsid w:val="F57E5137"/>
    <w:rsid w:val="F625E295"/>
    <w:rsid w:val="F97F1261"/>
    <w:rsid w:val="FA3F7CED"/>
    <w:rsid w:val="FB95A44A"/>
    <w:rsid w:val="FBDD6BC5"/>
    <w:rsid w:val="FBEEB894"/>
    <w:rsid w:val="FDBA52B6"/>
    <w:rsid w:val="FDFE3DF6"/>
    <w:rsid w:val="FEDF277A"/>
    <w:rsid w:val="FF2F9D85"/>
    <w:rsid w:val="FF72724C"/>
    <w:rsid w:val="FF749631"/>
    <w:rsid w:val="FFEAC735"/>
    <w:rsid w:val="FFF37805"/>
    <w:rsid w:val="00001A8B"/>
    <w:rsid w:val="00002C6E"/>
    <w:rsid w:val="000127BD"/>
    <w:rsid w:val="00013321"/>
    <w:rsid w:val="000133A7"/>
    <w:rsid w:val="00015A88"/>
    <w:rsid w:val="00020CA0"/>
    <w:rsid w:val="00022BDB"/>
    <w:rsid w:val="00024716"/>
    <w:rsid w:val="00026D28"/>
    <w:rsid w:val="00026FED"/>
    <w:rsid w:val="00034388"/>
    <w:rsid w:val="00040813"/>
    <w:rsid w:val="00040882"/>
    <w:rsid w:val="00040C27"/>
    <w:rsid w:val="0004223E"/>
    <w:rsid w:val="00042C6B"/>
    <w:rsid w:val="0005053E"/>
    <w:rsid w:val="00057B3A"/>
    <w:rsid w:val="00062987"/>
    <w:rsid w:val="000740BB"/>
    <w:rsid w:val="0007761E"/>
    <w:rsid w:val="000804E0"/>
    <w:rsid w:val="000979C2"/>
    <w:rsid w:val="000A6D8A"/>
    <w:rsid w:val="000C15C7"/>
    <w:rsid w:val="000C6B9C"/>
    <w:rsid w:val="000D604A"/>
    <w:rsid w:val="000D61DD"/>
    <w:rsid w:val="000D7B0E"/>
    <w:rsid w:val="000E42C5"/>
    <w:rsid w:val="000F2B44"/>
    <w:rsid w:val="000F5334"/>
    <w:rsid w:val="000F589B"/>
    <w:rsid w:val="0010543A"/>
    <w:rsid w:val="00110480"/>
    <w:rsid w:val="00112100"/>
    <w:rsid w:val="0011351D"/>
    <w:rsid w:val="00117E3B"/>
    <w:rsid w:val="00121AFA"/>
    <w:rsid w:val="00125ECB"/>
    <w:rsid w:val="00130373"/>
    <w:rsid w:val="00135B65"/>
    <w:rsid w:val="001361B5"/>
    <w:rsid w:val="001449A5"/>
    <w:rsid w:val="001467BD"/>
    <w:rsid w:val="00147B16"/>
    <w:rsid w:val="00150470"/>
    <w:rsid w:val="001514E8"/>
    <w:rsid w:val="00151BA0"/>
    <w:rsid w:val="00162C8E"/>
    <w:rsid w:val="0016539D"/>
    <w:rsid w:val="001719C5"/>
    <w:rsid w:val="001761E2"/>
    <w:rsid w:val="0018758B"/>
    <w:rsid w:val="00192EAB"/>
    <w:rsid w:val="00193BD9"/>
    <w:rsid w:val="001A10B6"/>
    <w:rsid w:val="001A61FA"/>
    <w:rsid w:val="001A7BB7"/>
    <w:rsid w:val="001B4BED"/>
    <w:rsid w:val="001B53A9"/>
    <w:rsid w:val="001B7479"/>
    <w:rsid w:val="001C114B"/>
    <w:rsid w:val="001C18C7"/>
    <w:rsid w:val="001C1AAB"/>
    <w:rsid w:val="001C1D07"/>
    <w:rsid w:val="001C2238"/>
    <w:rsid w:val="001C2ED8"/>
    <w:rsid w:val="001C3CF8"/>
    <w:rsid w:val="001C63C0"/>
    <w:rsid w:val="001C7359"/>
    <w:rsid w:val="001C7408"/>
    <w:rsid w:val="001E3458"/>
    <w:rsid w:val="001E57EB"/>
    <w:rsid w:val="001F0446"/>
    <w:rsid w:val="001F3160"/>
    <w:rsid w:val="00207B28"/>
    <w:rsid w:val="00207D54"/>
    <w:rsid w:val="00212061"/>
    <w:rsid w:val="002154E3"/>
    <w:rsid w:val="002156DC"/>
    <w:rsid w:val="00217C86"/>
    <w:rsid w:val="0022015C"/>
    <w:rsid w:val="00220CF3"/>
    <w:rsid w:val="002212B0"/>
    <w:rsid w:val="002218DB"/>
    <w:rsid w:val="00221B1D"/>
    <w:rsid w:val="00221D33"/>
    <w:rsid w:val="00222F5E"/>
    <w:rsid w:val="0022587F"/>
    <w:rsid w:val="00236182"/>
    <w:rsid w:val="002362FE"/>
    <w:rsid w:val="00237EAE"/>
    <w:rsid w:val="002442D7"/>
    <w:rsid w:val="00246BD8"/>
    <w:rsid w:val="00255A9F"/>
    <w:rsid w:val="00265524"/>
    <w:rsid w:val="00265787"/>
    <w:rsid w:val="00270E83"/>
    <w:rsid w:val="0027192F"/>
    <w:rsid w:val="00271C56"/>
    <w:rsid w:val="002727B5"/>
    <w:rsid w:val="00276576"/>
    <w:rsid w:val="002848EB"/>
    <w:rsid w:val="002A36EE"/>
    <w:rsid w:val="002B060F"/>
    <w:rsid w:val="002B6A68"/>
    <w:rsid w:val="002C2B0A"/>
    <w:rsid w:val="002D1054"/>
    <w:rsid w:val="002E4E09"/>
    <w:rsid w:val="002E67A2"/>
    <w:rsid w:val="002F1556"/>
    <w:rsid w:val="002F1F01"/>
    <w:rsid w:val="003018C9"/>
    <w:rsid w:val="003030DB"/>
    <w:rsid w:val="003061CD"/>
    <w:rsid w:val="0030631D"/>
    <w:rsid w:val="00306D9A"/>
    <w:rsid w:val="00315D8D"/>
    <w:rsid w:val="00317B68"/>
    <w:rsid w:val="0032037F"/>
    <w:rsid w:val="00326241"/>
    <w:rsid w:val="0033002F"/>
    <w:rsid w:val="00337FED"/>
    <w:rsid w:val="003429E1"/>
    <w:rsid w:val="00344A4F"/>
    <w:rsid w:val="003505F7"/>
    <w:rsid w:val="00364AB7"/>
    <w:rsid w:val="003714E8"/>
    <w:rsid w:val="003761C1"/>
    <w:rsid w:val="00390A0A"/>
    <w:rsid w:val="003B4281"/>
    <w:rsid w:val="003B6D06"/>
    <w:rsid w:val="003B7121"/>
    <w:rsid w:val="003D1442"/>
    <w:rsid w:val="003D166A"/>
    <w:rsid w:val="003D171B"/>
    <w:rsid w:val="003D225D"/>
    <w:rsid w:val="003D49F7"/>
    <w:rsid w:val="003D4CA6"/>
    <w:rsid w:val="003D6F11"/>
    <w:rsid w:val="003D7B6A"/>
    <w:rsid w:val="003E2D6B"/>
    <w:rsid w:val="003E4140"/>
    <w:rsid w:val="003E4D9E"/>
    <w:rsid w:val="003E7064"/>
    <w:rsid w:val="003F39EB"/>
    <w:rsid w:val="003F424A"/>
    <w:rsid w:val="003F4931"/>
    <w:rsid w:val="003F77D8"/>
    <w:rsid w:val="00402686"/>
    <w:rsid w:val="00403653"/>
    <w:rsid w:val="004040AA"/>
    <w:rsid w:val="00405C2C"/>
    <w:rsid w:val="0041161C"/>
    <w:rsid w:val="0041192C"/>
    <w:rsid w:val="00412763"/>
    <w:rsid w:val="0041633A"/>
    <w:rsid w:val="0041663E"/>
    <w:rsid w:val="00417DD6"/>
    <w:rsid w:val="00421D94"/>
    <w:rsid w:val="004235CA"/>
    <w:rsid w:val="00431564"/>
    <w:rsid w:val="00432036"/>
    <w:rsid w:val="00433552"/>
    <w:rsid w:val="004364F7"/>
    <w:rsid w:val="00445735"/>
    <w:rsid w:val="004523AE"/>
    <w:rsid w:val="0046730A"/>
    <w:rsid w:val="00481B3D"/>
    <w:rsid w:val="00482EFD"/>
    <w:rsid w:val="00493CC8"/>
    <w:rsid w:val="004A27BD"/>
    <w:rsid w:val="004C34C5"/>
    <w:rsid w:val="004C72AA"/>
    <w:rsid w:val="004E1319"/>
    <w:rsid w:val="004E3D11"/>
    <w:rsid w:val="004E4CAC"/>
    <w:rsid w:val="004E4EFC"/>
    <w:rsid w:val="00501831"/>
    <w:rsid w:val="00517C80"/>
    <w:rsid w:val="00520DE1"/>
    <w:rsid w:val="00522A31"/>
    <w:rsid w:val="0052591C"/>
    <w:rsid w:val="005314F2"/>
    <w:rsid w:val="00532A1A"/>
    <w:rsid w:val="005365EF"/>
    <w:rsid w:val="00541A15"/>
    <w:rsid w:val="00544726"/>
    <w:rsid w:val="00546D31"/>
    <w:rsid w:val="00550183"/>
    <w:rsid w:val="00555C5B"/>
    <w:rsid w:val="0056761A"/>
    <w:rsid w:val="005806C1"/>
    <w:rsid w:val="00580A2A"/>
    <w:rsid w:val="00582D7B"/>
    <w:rsid w:val="005858BD"/>
    <w:rsid w:val="00587A67"/>
    <w:rsid w:val="005A5621"/>
    <w:rsid w:val="005A68E4"/>
    <w:rsid w:val="005C11CC"/>
    <w:rsid w:val="005D25DC"/>
    <w:rsid w:val="005F5AEF"/>
    <w:rsid w:val="00604A51"/>
    <w:rsid w:val="00607F66"/>
    <w:rsid w:val="006154C1"/>
    <w:rsid w:val="00622D8F"/>
    <w:rsid w:val="00624961"/>
    <w:rsid w:val="006354E1"/>
    <w:rsid w:val="00640E1E"/>
    <w:rsid w:val="00641AA9"/>
    <w:rsid w:val="00642CFA"/>
    <w:rsid w:val="006451DA"/>
    <w:rsid w:val="00647681"/>
    <w:rsid w:val="00647AC4"/>
    <w:rsid w:val="00654BBC"/>
    <w:rsid w:val="00657BEA"/>
    <w:rsid w:val="006645F6"/>
    <w:rsid w:val="0066606A"/>
    <w:rsid w:val="00670096"/>
    <w:rsid w:val="006748D7"/>
    <w:rsid w:val="0067727E"/>
    <w:rsid w:val="00690769"/>
    <w:rsid w:val="00691EB4"/>
    <w:rsid w:val="006968CA"/>
    <w:rsid w:val="006A2366"/>
    <w:rsid w:val="006B6393"/>
    <w:rsid w:val="006C744A"/>
    <w:rsid w:val="006D6202"/>
    <w:rsid w:val="006E00A2"/>
    <w:rsid w:val="006E4444"/>
    <w:rsid w:val="006E4F45"/>
    <w:rsid w:val="006E50C5"/>
    <w:rsid w:val="006F36E9"/>
    <w:rsid w:val="006F4F0C"/>
    <w:rsid w:val="0070683D"/>
    <w:rsid w:val="00713B26"/>
    <w:rsid w:val="00724844"/>
    <w:rsid w:val="007329C9"/>
    <w:rsid w:val="007333D7"/>
    <w:rsid w:val="007339DC"/>
    <w:rsid w:val="00751C2C"/>
    <w:rsid w:val="00754469"/>
    <w:rsid w:val="007676DA"/>
    <w:rsid w:val="007676E9"/>
    <w:rsid w:val="00776DAA"/>
    <w:rsid w:val="007770DC"/>
    <w:rsid w:val="0079027F"/>
    <w:rsid w:val="007916A9"/>
    <w:rsid w:val="0079358C"/>
    <w:rsid w:val="007A4812"/>
    <w:rsid w:val="007C18E5"/>
    <w:rsid w:val="007C45C2"/>
    <w:rsid w:val="007D5555"/>
    <w:rsid w:val="007E6856"/>
    <w:rsid w:val="007E793D"/>
    <w:rsid w:val="007F774D"/>
    <w:rsid w:val="008005F5"/>
    <w:rsid w:val="008110A7"/>
    <w:rsid w:val="00811659"/>
    <w:rsid w:val="00812FB5"/>
    <w:rsid w:val="00814329"/>
    <w:rsid w:val="0081662E"/>
    <w:rsid w:val="00840CA2"/>
    <w:rsid w:val="0084632E"/>
    <w:rsid w:val="008564D1"/>
    <w:rsid w:val="00856DA1"/>
    <w:rsid w:val="00866E31"/>
    <w:rsid w:val="00884095"/>
    <w:rsid w:val="00891CAA"/>
    <w:rsid w:val="008946FB"/>
    <w:rsid w:val="00896398"/>
    <w:rsid w:val="008B09D5"/>
    <w:rsid w:val="008B1717"/>
    <w:rsid w:val="008B216C"/>
    <w:rsid w:val="008B71B3"/>
    <w:rsid w:val="008C1374"/>
    <w:rsid w:val="008C168F"/>
    <w:rsid w:val="008C55F2"/>
    <w:rsid w:val="008D1C1F"/>
    <w:rsid w:val="008D2144"/>
    <w:rsid w:val="008D533A"/>
    <w:rsid w:val="008D55ED"/>
    <w:rsid w:val="008D685B"/>
    <w:rsid w:val="008D75F9"/>
    <w:rsid w:val="008E65B1"/>
    <w:rsid w:val="008F099D"/>
    <w:rsid w:val="008F12E3"/>
    <w:rsid w:val="008F507A"/>
    <w:rsid w:val="00901F0E"/>
    <w:rsid w:val="009068D6"/>
    <w:rsid w:val="00906C63"/>
    <w:rsid w:val="0091665C"/>
    <w:rsid w:val="00917935"/>
    <w:rsid w:val="00926F38"/>
    <w:rsid w:val="00931FE4"/>
    <w:rsid w:val="00935F5D"/>
    <w:rsid w:val="009369F0"/>
    <w:rsid w:val="00942626"/>
    <w:rsid w:val="0094281C"/>
    <w:rsid w:val="00952E06"/>
    <w:rsid w:val="00954B66"/>
    <w:rsid w:val="0095762D"/>
    <w:rsid w:val="00964E8C"/>
    <w:rsid w:val="00971F4C"/>
    <w:rsid w:val="00974069"/>
    <w:rsid w:val="009751BB"/>
    <w:rsid w:val="00977E28"/>
    <w:rsid w:val="00980CF8"/>
    <w:rsid w:val="00994DB6"/>
    <w:rsid w:val="009A1079"/>
    <w:rsid w:val="009A124F"/>
    <w:rsid w:val="009A395C"/>
    <w:rsid w:val="009A5B09"/>
    <w:rsid w:val="009B4CDF"/>
    <w:rsid w:val="009C40F6"/>
    <w:rsid w:val="009C61BD"/>
    <w:rsid w:val="009D18F9"/>
    <w:rsid w:val="009D2F04"/>
    <w:rsid w:val="009E1861"/>
    <w:rsid w:val="009E396C"/>
    <w:rsid w:val="009E6C3D"/>
    <w:rsid w:val="009F63C0"/>
    <w:rsid w:val="00A01223"/>
    <w:rsid w:val="00A02317"/>
    <w:rsid w:val="00A10B80"/>
    <w:rsid w:val="00A125E4"/>
    <w:rsid w:val="00A15773"/>
    <w:rsid w:val="00A2698E"/>
    <w:rsid w:val="00A32EAE"/>
    <w:rsid w:val="00A35DE0"/>
    <w:rsid w:val="00A421A6"/>
    <w:rsid w:val="00A42E2D"/>
    <w:rsid w:val="00A45C75"/>
    <w:rsid w:val="00A53E57"/>
    <w:rsid w:val="00A61F7F"/>
    <w:rsid w:val="00A65A25"/>
    <w:rsid w:val="00A75DC3"/>
    <w:rsid w:val="00A76E8A"/>
    <w:rsid w:val="00A80CE8"/>
    <w:rsid w:val="00A8668A"/>
    <w:rsid w:val="00A936BC"/>
    <w:rsid w:val="00A94A78"/>
    <w:rsid w:val="00A955AA"/>
    <w:rsid w:val="00AA2C43"/>
    <w:rsid w:val="00AA39D2"/>
    <w:rsid w:val="00AA5EAA"/>
    <w:rsid w:val="00AB02AC"/>
    <w:rsid w:val="00AB58D2"/>
    <w:rsid w:val="00AB6643"/>
    <w:rsid w:val="00AB6903"/>
    <w:rsid w:val="00AC2CFB"/>
    <w:rsid w:val="00AC5A44"/>
    <w:rsid w:val="00AD1402"/>
    <w:rsid w:val="00AD3928"/>
    <w:rsid w:val="00AF6999"/>
    <w:rsid w:val="00B00175"/>
    <w:rsid w:val="00B141C4"/>
    <w:rsid w:val="00B146FD"/>
    <w:rsid w:val="00B23B39"/>
    <w:rsid w:val="00B24DDA"/>
    <w:rsid w:val="00B2545E"/>
    <w:rsid w:val="00B30301"/>
    <w:rsid w:val="00B31D2D"/>
    <w:rsid w:val="00B532C0"/>
    <w:rsid w:val="00B53FFB"/>
    <w:rsid w:val="00B57191"/>
    <w:rsid w:val="00B65100"/>
    <w:rsid w:val="00B70408"/>
    <w:rsid w:val="00B713E2"/>
    <w:rsid w:val="00B77A0E"/>
    <w:rsid w:val="00B823F4"/>
    <w:rsid w:val="00B917B2"/>
    <w:rsid w:val="00B95E97"/>
    <w:rsid w:val="00BA08A2"/>
    <w:rsid w:val="00BA0C40"/>
    <w:rsid w:val="00BA1DA2"/>
    <w:rsid w:val="00BA608F"/>
    <w:rsid w:val="00BD27B9"/>
    <w:rsid w:val="00BD7A77"/>
    <w:rsid w:val="00BE1A23"/>
    <w:rsid w:val="00BE2D9C"/>
    <w:rsid w:val="00BE430D"/>
    <w:rsid w:val="00BF5450"/>
    <w:rsid w:val="00BF56EB"/>
    <w:rsid w:val="00BF5891"/>
    <w:rsid w:val="00BF5896"/>
    <w:rsid w:val="00BF73D1"/>
    <w:rsid w:val="00BF7671"/>
    <w:rsid w:val="00C01B35"/>
    <w:rsid w:val="00C04A66"/>
    <w:rsid w:val="00C065D9"/>
    <w:rsid w:val="00C12C42"/>
    <w:rsid w:val="00C175DB"/>
    <w:rsid w:val="00C263FF"/>
    <w:rsid w:val="00C26A99"/>
    <w:rsid w:val="00C27154"/>
    <w:rsid w:val="00C303EE"/>
    <w:rsid w:val="00C435C7"/>
    <w:rsid w:val="00C441FD"/>
    <w:rsid w:val="00C44E73"/>
    <w:rsid w:val="00C45E28"/>
    <w:rsid w:val="00C47B22"/>
    <w:rsid w:val="00C57837"/>
    <w:rsid w:val="00C66A93"/>
    <w:rsid w:val="00C6755C"/>
    <w:rsid w:val="00C71815"/>
    <w:rsid w:val="00C75E4D"/>
    <w:rsid w:val="00C91D9F"/>
    <w:rsid w:val="00C933B1"/>
    <w:rsid w:val="00C966A7"/>
    <w:rsid w:val="00CA474D"/>
    <w:rsid w:val="00CA7B34"/>
    <w:rsid w:val="00CB1F4C"/>
    <w:rsid w:val="00CB3D13"/>
    <w:rsid w:val="00CB70F1"/>
    <w:rsid w:val="00CB7795"/>
    <w:rsid w:val="00CD05FF"/>
    <w:rsid w:val="00CD205D"/>
    <w:rsid w:val="00CD4832"/>
    <w:rsid w:val="00CD5C40"/>
    <w:rsid w:val="00CE2594"/>
    <w:rsid w:val="00CF0CAC"/>
    <w:rsid w:val="00D0516A"/>
    <w:rsid w:val="00D07AEB"/>
    <w:rsid w:val="00D1531A"/>
    <w:rsid w:val="00D17CE7"/>
    <w:rsid w:val="00D20914"/>
    <w:rsid w:val="00D22A77"/>
    <w:rsid w:val="00D24386"/>
    <w:rsid w:val="00D26E61"/>
    <w:rsid w:val="00D277C5"/>
    <w:rsid w:val="00D307C5"/>
    <w:rsid w:val="00D30C31"/>
    <w:rsid w:val="00D42E96"/>
    <w:rsid w:val="00D43908"/>
    <w:rsid w:val="00D4649C"/>
    <w:rsid w:val="00D46F2F"/>
    <w:rsid w:val="00D51D7F"/>
    <w:rsid w:val="00D614C4"/>
    <w:rsid w:val="00D7441E"/>
    <w:rsid w:val="00D758CF"/>
    <w:rsid w:val="00D76C6B"/>
    <w:rsid w:val="00D77498"/>
    <w:rsid w:val="00D84F4B"/>
    <w:rsid w:val="00D92953"/>
    <w:rsid w:val="00D92AB6"/>
    <w:rsid w:val="00D9571F"/>
    <w:rsid w:val="00D96A32"/>
    <w:rsid w:val="00DA411A"/>
    <w:rsid w:val="00DA6B83"/>
    <w:rsid w:val="00DA7EA3"/>
    <w:rsid w:val="00DB4FB7"/>
    <w:rsid w:val="00DC36F5"/>
    <w:rsid w:val="00DD7405"/>
    <w:rsid w:val="00DD7929"/>
    <w:rsid w:val="00DE15D1"/>
    <w:rsid w:val="00DE1A64"/>
    <w:rsid w:val="00DF2172"/>
    <w:rsid w:val="00DF23B9"/>
    <w:rsid w:val="00DF4AF8"/>
    <w:rsid w:val="00DF5F5E"/>
    <w:rsid w:val="00DF6537"/>
    <w:rsid w:val="00E030D4"/>
    <w:rsid w:val="00E07E05"/>
    <w:rsid w:val="00E17590"/>
    <w:rsid w:val="00E20762"/>
    <w:rsid w:val="00E33314"/>
    <w:rsid w:val="00E3582A"/>
    <w:rsid w:val="00E36B74"/>
    <w:rsid w:val="00E36C02"/>
    <w:rsid w:val="00E425C1"/>
    <w:rsid w:val="00E42B28"/>
    <w:rsid w:val="00E44C4D"/>
    <w:rsid w:val="00E45A0A"/>
    <w:rsid w:val="00E5305C"/>
    <w:rsid w:val="00E547E2"/>
    <w:rsid w:val="00E55ADC"/>
    <w:rsid w:val="00E62286"/>
    <w:rsid w:val="00E730E9"/>
    <w:rsid w:val="00E82909"/>
    <w:rsid w:val="00E82BB0"/>
    <w:rsid w:val="00E83AE0"/>
    <w:rsid w:val="00E84551"/>
    <w:rsid w:val="00E84A33"/>
    <w:rsid w:val="00E9192A"/>
    <w:rsid w:val="00E919D9"/>
    <w:rsid w:val="00E942D6"/>
    <w:rsid w:val="00EA695B"/>
    <w:rsid w:val="00EB221B"/>
    <w:rsid w:val="00EB2894"/>
    <w:rsid w:val="00EC2B1C"/>
    <w:rsid w:val="00EC7215"/>
    <w:rsid w:val="00ED35C5"/>
    <w:rsid w:val="00ED4283"/>
    <w:rsid w:val="00ED735F"/>
    <w:rsid w:val="00EE7305"/>
    <w:rsid w:val="00EE7850"/>
    <w:rsid w:val="00F00AAD"/>
    <w:rsid w:val="00F01B82"/>
    <w:rsid w:val="00F03F57"/>
    <w:rsid w:val="00F0430C"/>
    <w:rsid w:val="00F06932"/>
    <w:rsid w:val="00F07371"/>
    <w:rsid w:val="00F14075"/>
    <w:rsid w:val="00F14BDF"/>
    <w:rsid w:val="00F14D40"/>
    <w:rsid w:val="00F20BBA"/>
    <w:rsid w:val="00F243EF"/>
    <w:rsid w:val="00F34C89"/>
    <w:rsid w:val="00F40141"/>
    <w:rsid w:val="00F616B5"/>
    <w:rsid w:val="00F63C8F"/>
    <w:rsid w:val="00F718D6"/>
    <w:rsid w:val="00F7316D"/>
    <w:rsid w:val="00F836EC"/>
    <w:rsid w:val="00F86DE7"/>
    <w:rsid w:val="00F905E3"/>
    <w:rsid w:val="00F91968"/>
    <w:rsid w:val="00F944EF"/>
    <w:rsid w:val="00F9660D"/>
    <w:rsid w:val="00FA5A63"/>
    <w:rsid w:val="00FB3CAA"/>
    <w:rsid w:val="00FB7375"/>
    <w:rsid w:val="00FC238F"/>
    <w:rsid w:val="00FC5CA7"/>
    <w:rsid w:val="00FC6A7C"/>
    <w:rsid w:val="00FC6F17"/>
    <w:rsid w:val="00FD62EE"/>
    <w:rsid w:val="00FE1123"/>
    <w:rsid w:val="00FE2CAE"/>
    <w:rsid w:val="00FE5832"/>
    <w:rsid w:val="00FF0BF0"/>
    <w:rsid w:val="02296E92"/>
    <w:rsid w:val="02847D1E"/>
    <w:rsid w:val="02B2792C"/>
    <w:rsid w:val="043261A0"/>
    <w:rsid w:val="051E4297"/>
    <w:rsid w:val="08006C4A"/>
    <w:rsid w:val="08434926"/>
    <w:rsid w:val="08FD6262"/>
    <w:rsid w:val="0BB77C3B"/>
    <w:rsid w:val="0C977F68"/>
    <w:rsid w:val="0DF108FD"/>
    <w:rsid w:val="11E67B62"/>
    <w:rsid w:val="133E6515"/>
    <w:rsid w:val="137FCD62"/>
    <w:rsid w:val="173C0FBE"/>
    <w:rsid w:val="177BBE7E"/>
    <w:rsid w:val="193C45EE"/>
    <w:rsid w:val="19DFA22F"/>
    <w:rsid w:val="1B5A50A3"/>
    <w:rsid w:val="1B8F2E06"/>
    <w:rsid w:val="1B9118D8"/>
    <w:rsid w:val="1E592455"/>
    <w:rsid w:val="1EB73A6D"/>
    <w:rsid w:val="1FF45787"/>
    <w:rsid w:val="1FFE84B2"/>
    <w:rsid w:val="1FFF2B93"/>
    <w:rsid w:val="22DC7B9A"/>
    <w:rsid w:val="23243ABB"/>
    <w:rsid w:val="23946455"/>
    <w:rsid w:val="26687E0D"/>
    <w:rsid w:val="271A136E"/>
    <w:rsid w:val="27CE7A10"/>
    <w:rsid w:val="2BCE5DC3"/>
    <w:rsid w:val="2DAB6376"/>
    <w:rsid w:val="2E1E650B"/>
    <w:rsid w:val="2FD74D2E"/>
    <w:rsid w:val="31E25E2B"/>
    <w:rsid w:val="34401BBE"/>
    <w:rsid w:val="35F77386"/>
    <w:rsid w:val="382127F7"/>
    <w:rsid w:val="3AFD9F41"/>
    <w:rsid w:val="3B0C3974"/>
    <w:rsid w:val="3BDFA120"/>
    <w:rsid w:val="3FFBC79E"/>
    <w:rsid w:val="428E0070"/>
    <w:rsid w:val="44C20B72"/>
    <w:rsid w:val="45BF467D"/>
    <w:rsid w:val="4A3A2045"/>
    <w:rsid w:val="4AF92322"/>
    <w:rsid w:val="4BFF94DF"/>
    <w:rsid w:val="531D4F9C"/>
    <w:rsid w:val="547F369C"/>
    <w:rsid w:val="549C6C69"/>
    <w:rsid w:val="54D26C6F"/>
    <w:rsid w:val="56DC0F52"/>
    <w:rsid w:val="57A336CF"/>
    <w:rsid w:val="58C61EBA"/>
    <w:rsid w:val="59D00E12"/>
    <w:rsid w:val="5DFE1116"/>
    <w:rsid w:val="5E167CEB"/>
    <w:rsid w:val="60E00C13"/>
    <w:rsid w:val="64F47DAF"/>
    <w:rsid w:val="650F0FE5"/>
    <w:rsid w:val="65B3FD47"/>
    <w:rsid w:val="67F352B0"/>
    <w:rsid w:val="690E348C"/>
    <w:rsid w:val="69332F1A"/>
    <w:rsid w:val="6AB62385"/>
    <w:rsid w:val="6BFE08DD"/>
    <w:rsid w:val="6CEF1588"/>
    <w:rsid w:val="6FF6604B"/>
    <w:rsid w:val="71FD7A73"/>
    <w:rsid w:val="73061916"/>
    <w:rsid w:val="75900D15"/>
    <w:rsid w:val="777B808F"/>
    <w:rsid w:val="777D3F19"/>
    <w:rsid w:val="77DFF32C"/>
    <w:rsid w:val="79F715A4"/>
    <w:rsid w:val="7B1B475C"/>
    <w:rsid w:val="7B79845D"/>
    <w:rsid w:val="7BF56C14"/>
    <w:rsid w:val="7CF96D87"/>
    <w:rsid w:val="7E3456A1"/>
    <w:rsid w:val="7E5701A5"/>
    <w:rsid w:val="7EF92C0F"/>
    <w:rsid w:val="7EFB8AC0"/>
    <w:rsid w:val="7F7D43EC"/>
    <w:rsid w:val="7FA7B47E"/>
    <w:rsid w:val="7FBE4388"/>
    <w:rsid w:val="7FCD97F1"/>
    <w:rsid w:val="7FFF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CE981"/>
  <w15:docId w15:val="{0A1FB8E0-976D-4A58-8E7D-B8083E28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uiPriority w:val="99"/>
    <w:unhideWhenUsed/>
    <w:qFormat/>
    <w:pPr>
      <w:spacing w:after="120"/>
    </w:pPr>
  </w:style>
  <w:style w:type="paragraph" w:styleId="a7">
    <w:name w:val="Body Text Indent"/>
    <w:basedOn w:val="a"/>
    <w:qFormat/>
    <w:pPr>
      <w:spacing w:before="100" w:beforeAutospacing="1" w:after="100" w:afterAutospacing="1" w:line="440" w:lineRule="exact"/>
      <w:ind w:firstLineChars="300" w:firstLine="720"/>
    </w:pPr>
    <w:rPr>
      <w:rFonts w:ascii="Times New Roman" w:hAnsi="Times New Roman" w:cs="Times New Roman"/>
      <w:sz w:val="24"/>
      <w:szCs w:val="24"/>
    </w:rPr>
  </w:style>
  <w:style w:type="paragraph" w:styleId="a8">
    <w:name w:val="Date"/>
    <w:basedOn w:val="a"/>
    <w:next w:val="a"/>
    <w:link w:val="a9"/>
    <w:uiPriority w:val="99"/>
    <w:unhideWhenUsed/>
    <w:qFormat/>
    <w:pPr>
      <w:ind w:leftChars="2500" w:left="100"/>
    </w:p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3"/>
    <w:next w:val="a3"/>
    <w:link w:val="af1"/>
    <w:uiPriority w:val="99"/>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qFormat/>
  </w:style>
  <w:style w:type="character" w:styleId="af5">
    <w:name w:val="annotation reference"/>
    <w:basedOn w:val="a0"/>
    <w:uiPriority w:val="99"/>
    <w:unhideWhenUsed/>
    <w:qFormat/>
    <w:rPr>
      <w:sz w:val="21"/>
      <w:szCs w:val="21"/>
    </w:rPr>
  </w:style>
  <w:style w:type="character" w:customStyle="1" w:styleId="a6">
    <w:name w:val="正文文本 字符"/>
    <w:basedOn w:val="a0"/>
    <w:link w:val="a5"/>
    <w:uiPriority w:val="99"/>
    <w:semiHidden/>
    <w:qFormat/>
    <w:rPr>
      <w:rFonts w:ascii="宋体" w:eastAsia="宋体" w:hAnsi="宋体" w:cs="宋体"/>
      <w:kern w:val="0"/>
      <w:sz w:val="22"/>
      <w:lang w:val="zh-CN" w:bidi="zh-CN"/>
    </w:rPr>
  </w:style>
  <w:style w:type="paragraph" w:customStyle="1" w:styleId="Char">
    <w:name w:val="Char"/>
    <w:basedOn w:val="a"/>
    <w:qFormat/>
    <w:pPr>
      <w:autoSpaceDE/>
      <w:autoSpaceDN/>
      <w:snapToGrid w:val="0"/>
      <w:spacing w:line="440" w:lineRule="atLeast"/>
      <w:jc w:val="both"/>
    </w:pPr>
    <w:rPr>
      <w:rFonts w:ascii="Times New Roman" w:hAnsi="Times New Roman" w:cs="Times New Roman"/>
      <w:kern w:val="2"/>
      <w:sz w:val="21"/>
      <w:szCs w:val="24"/>
      <w:lang w:val="en-US" w:bidi="ar-SA"/>
    </w:rPr>
  </w:style>
  <w:style w:type="character" w:customStyle="1" w:styleId="af">
    <w:name w:val="页眉 字符"/>
    <w:basedOn w:val="a0"/>
    <w:link w:val="ae"/>
    <w:uiPriority w:val="99"/>
    <w:qFormat/>
    <w:rPr>
      <w:rFonts w:ascii="宋体" w:eastAsia="宋体" w:hAnsi="宋体" w:cs="宋体"/>
      <w:kern w:val="0"/>
      <w:sz w:val="18"/>
      <w:szCs w:val="18"/>
      <w:lang w:val="zh-CN" w:bidi="zh-CN"/>
    </w:rPr>
  </w:style>
  <w:style w:type="character" w:customStyle="1" w:styleId="ad">
    <w:name w:val="页脚 字符"/>
    <w:basedOn w:val="a0"/>
    <w:link w:val="ac"/>
    <w:uiPriority w:val="99"/>
    <w:qFormat/>
    <w:rPr>
      <w:rFonts w:ascii="宋体" w:eastAsia="宋体" w:hAnsi="宋体" w:cs="宋体"/>
      <w:kern w:val="0"/>
      <w:sz w:val="18"/>
      <w:szCs w:val="18"/>
      <w:lang w:val="zh-CN" w:bidi="zh-CN"/>
    </w:rPr>
  </w:style>
  <w:style w:type="paragraph" w:customStyle="1" w:styleId="Af6">
    <w:name w:val="正文 A"/>
    <w:uiPriority w:val="99"/>
    <w:qFormat/>
    <w:pPr>
      <w:widowControl w:val="0"/>
      <w:jc w:val="both"/>
    </w:pPr>
    <w:rPr>
      <w:rFonts w:ascii="Calibri" w:hAnsi="Calibri"/>
      <w:color w:val="000000"/>
      <w:kern w:val="2"/>
      <w:sz w:val="21"/>
      <w:szCs w:val="21"/>
      <w:u w:color="000000"/>
    </w:rPr>
  </w:style>
  <w:style w:type="character" w:customStyle="1" w:styleId="a9">
    <w:name w:val="日期 字符"/>
    <w:basedOn w:val="a0"/>
    <w:link w:val="a8"/>
    <w:uiPriority w:val="99"/>
    <w:semiHidden/>
    <w:qFormat/>
    <w:rPr>
      <w:rFonts w:ascii="宋体" w:eastAsia="宋体" w:hAnsi="宋体" w:cs="宋体"/>
      <w:kern w:val="0"/>
      <w:sz w:val="22"/>
      <w:lang w:val="zh-CN" w:bidi="zh-CN"/>
    </w:rPr>
  </w:style>
  <w:style w:type="character" w:customStyle="1" w:styleId="ab">
    <w:name w:val="批注框文本 字符"/>
    <w:basedOn w:val="a0"/>
    <w:link w:val="aa"/>
    <w:uiPriority w:val="99"/>
    <w:semiHidden/>
    <w:qFormat/>
    <w:rPr>
      <w:rFonts w:ascii="宋体" w:eastAsia="宋体" w:hAnsi="宋体" w:cs="宋体"/>
      <w:kern w:val="0"/>
      <w:sz w:val="18"/>
      <w:szCs w:val="18"/>
      <w:lang w:val="zh-CN" w:bidi="zh-CN"/>
    </w:rPr>
  </w:style>
  <w:style w:type="character" w:customStyle="1" w:styleId="a4">
    <w:name w:val="批注文字 字符"/>
    <w:basedOn w:val="a0"/>
    <w:link w:val="a3"/>
    <w:uiPriority w:val="99"/>
    <w:semiHidden/>
    <w:qFormat/>
    <w:rPr>
      <w:rFonts w:ascii="宋体" w:hAnsi="宋体" w:cs="宋体"/>
      <w:sz w:val="22"/>
      <w:szCs w:val="22"/>
      <w:lang w:val="zh-CN" w:bidi="zh-CN"/>
    </w:rPr>
  </w:style>
  <w:style w:type="character" w:customStyle="1" w:styleId="af1">
    <w:name w:val="批注主题 字符"/>
    <w:basedOn w:val="a4"/>
    <w:link w:val="af0"/>
    <w:uiPriority w:val="99"/>
    <w:semiHidden/>
    <w:qFormat/>
    <w:rPr>
      <w:rFonts w:ascii="宋体" w:hAnsi="宋体" w:cs="宋体"/>
      <w:b/>
      <w:bCs/>
      <w:sz w:val="22"/>
      <w:szCs w:val="22"/>
      <w:lang w:val="zh-CN" w:bidi="zh-CN"/>
    </w:rPr>
  </w:style>
  <w:style w:type="paragraph" w:customStyle="1" w:styleId="p0">
    <w:name w:val="p0"/>
    <w:basedOn w:val="a"/>
    <w:qFormat/>
    <w:pPr>
      <w:widowControl/>
      <w:spacing w:before="100" w:before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2029</Characters>
  <Application>Microsoft Office Word</Application>
  <DocSecurity>0</DocSecurity>
  <Lines>156</Lines>
  <Paragraphs>79</Paragraphs>
  <ScaleCrop>false</ScaleCrop>
  <Company>xxzx</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孙杨</dc:creator>
  <cp:lastModifiedBy>笑渔 李</cp:lastModifiedBy>
  <cp:revision>6</cp:revision>
  <cp:lastPrinted>2023-03-14T10:41:00Z</cp:lastPrinted>
  <dcterms:created xsi:type="dcterms:W3CDTF">2025-07-20T02:42:00Z</dcterms:created>
  <dcterms:modified xsi:type="dcterms:W3CDTF">2025-07-22T06:00:00Z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B15DA0CB99AD4846A7006C2BFB8D1FDC</vt:lpwstr>
  </property>
</Properties>
</file>